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120" w:after="120"/>
        <w:rPr>
          <w:rFonts w:ascii="Arial" w:hAnsi="Arial" w:eastAsia="宋体" w:cs="Arial"/>
          <w:b/>
          <w:bCs/>
          <w:sz w:val="24"/>
          <w:szCs w:val="24"/>
        </w:rPr>
      </w:pPr>
      <w:r>
        <w:rPr>
          <w:rFonts w:ascii="Arial" w:hAnsi="Arial" w:eastAsia="Malgun Gothic" w:cs="Arial"/>
          <w:b/>
          <w:bCs/>
          <w:sz w:val="24"/>
          <w:szCs w:val="24"/>
          <w:lang w:val="en-GB"/>
        </w:rPr>
        <w:t>3GPP TSG-RAN WG2 Meeting #12</w:t>
      </w:r>
      <w:r>
        <w:rPr>
          <w:rFonts w:ascii="Arial" w:hAnsi="Arial" w:eastAsia="Malgun Gothic" w:cs="Arial"/>
          <w:b/>
          <w:bCs/>
          <w:sz w:val="24"/>
          <w:szCs w:val="24"/>
        </w:rPr>
        <w:t>6</w:t>
      </w:r>
      <w:r>
        <w:rPr>
          <w:rFonts w:ascii="Arial" w:hAnsi="Arial" w:eastAsia="Malgun Gothic" w:cs="Arial"/>
          <w:b/>
          <w:bCs/>
          <w:sz w:val="24"/>
          <w:szCs w:val="24"/>
          <w:lang w:val="en-GB"/>
        </w:rPr>
        <w:tab/>
      </w:r>
      <w:r>
        <w:rPr>
          <w:rFonts w:hint="eastAsia" w:ascii="Arial" w:hAnsi="Arial" w:eastAsia="Malgun Gothic" w:cs="Arial"/>
          <w:b/>
          <w:bCs/>
          <w:sz w:val="24"/>
          <w:szCs w:val="24"/>
          <w:lang w:val="en-GB"/>
        </w:rPr>
        <w:t>R2-2405063</w:t>
      </w:r>
    </w:p>
    <w:p>
      <w:pPr>
        <w:widowControl w:val="0"/>
        <w:tabs>
          <w:tab w:val="left" w:pos="1701"/>
          <w:tab w:val="right" w:pos="9923"/>
        </w:tabs>
        <w:spacing w:before="120" w:after="120"/>
        <w:rPr>
          <w:rFonts w:ascii="Arial" w:hAnsi="Arial" w:eastAsia="MS Mincho"/>
          <w:b/>
          <w:sz w:val="24"/>
          <w:szCs w:val="24"/>
          <w:lang w:val="de-DE"/>
        </w:rPr>
      </w:pPr>
      <w:r>
        <w:rPr>
          <w:rFonts w:ascii="Arial" w:hAnsi="Arial" w:eastAsia="MS Mincho"/>
          <w:b/>
          <w:sz w:val="24"/>
          <w:szCs w:val="24"/>
          <w:lang w:val="de-DE"/>
        </w:rPr>
        <w:t>Fukuoka, Japan, 20 - 24 May, 2024</w:t>
      </w:r>
    </w:p>
    <w:p>
      <w:pPr>
        <w:pStyle w:val="27"/>
        <w:spacing w:before="120"/>
        <w:ind w:left="0" w:firstLine="0"/>
        <w:rPr>
          <w:rFonts w:cs="Arial"/>
          <w:sz w:val="24"/>
          <w:szCs w:val="24"/>
          <w:lang w:val="de-DE"/>
        </w:rPr>
      </w:pPr>
    </w:p>
    <w:p>
      <w:pPr>
        <w:pStyle w:val="27"/>
        <w:spacing w:before="120"/>
        <w:rPr>
          <w:rFonts w:cs="Arial" w:eastAsiaTheme="minorEastAsia"/>
          <w:sz w:val="24"/>
          <w:szCs w:val="24"/>
        </w:rPr>
      </w:pPr>
      <w:r>
        <w:rPr>
          <w:rFonts w:cs="Arial"/>
          <w:sz w:val="24"/>
          <w:szCs w:val="24"/>
        </w:rPr>
        <w:t xml:space="preserve">Source: </w:t>
      </w:r>
      <w:r>
        <w:rPr>
          <w:rFonts w:cs="Arial"/>
          <w:sz w:val="24"/>
          <w:szCs w:val="24"/>
        </w:rPr>
        <w:tab/>
      </w:r>
      <w:r>
        <w:rPr>
          <w:rFonts w:cs="Arial"/>
          <w:snapToGrid w:val="0"/>
          <w:kern w:val="0"/>
          <w:sz w:val="24"/>
        </w:rPr>
        <w:t>ZTE Corporation</w:t>
      </w:r>
    </w:p>
    <w:p>
      <w:pPr>
        <w:overflowPunct w:val="0"/>
        <w:autoSpaceDE w:val="0"/>
        <w:autoSpaceDN w:val="0"/>
        <w:adjustRightInd w:val="0"/>
        <w:snapToGrid w:val="0"/>
        <w:spacing w:before="120" w:after="120"/>
        <w:ind w:left="2100" w:hanging="2100"/>
        <w:jc w:val="left"/>
        <w:textAlignment w:val="baseline"/>
        <w:rPr>
          <w:rFonts w:ascii="Arial" w:hAnsi="Arial" w:eastAsia="宋体" w:cs="Arial"/>
          <w:b/>
          <w:bCs/>
          <w:sz w:val="24"/>
          <w:szCs w:val="24"/>
        </w:rPr>
      </w:pPr>
      <w:r>
        <w:rPr>
          <w:rFonts w:ascii="Arial" w:hAnsi="Arial" w:cs="Arial"/>
          <w:b/>
          <w:bCs/>
          <w:sz w:val="24"/>
          <w:szCs w:val="24"/>
        </w:rPr>
        <w:t xml:space="preserve">Title: </w:t>
      </w:r>
      <w:r>
        <w:rPr>
          <w:rFonts w:ascii="Arial" w:hAnsi="Arial" w:eastAsia="宋体" w:cs="Arial"/>
          <w:b/>
          <w:bCs/>
          <w:sz w:val="24"/>
          <w:szCs w:val="24"/>
        </w:rPr>
        <w:t xml:space="preserve">          </w:t>
      </w:r>
      <w:r>
        <w:rPr>
          <w:rFonts w:hint="eastAsia" w:ascii="Arial" w:hAnsi="Arial" w:eastAsia="宋体" w:cs="Arial"/>
          <w:b/>
          <w:bCs/>
          <w:sz w:val="24"/>
          <w:szCs w:val="24"/>
        </w:rPr>
        <w:t xml:space="preserve"> Discussion</w:t>
      </w:r>
      <w:r>
        <w:rPr>
          <w:rFonts w:ascii="Arial" w:hAnsi="Arial" w:eastAsia="宋体" w:cs="Arial"/>
          <w:b/>
          <w:bCs/>
          <w:sz w:val="24"/>
          <w:szCs w:val="24"/>
        </w:rPr>
        <w:t xml:space="preserve"> on event-trigg</w:t>
      </w:r>
      <w:bookmarkStart w:id="114" w:name="_GoBack"/>
      <w:bookmarkEnd w:id="114"/>
      <w:r>
        <w:rPr>
          <w:rFonts w:ascii="Arial" w:hAnsi="Arial" w:eastAsia="宋体" w:cs="Arial"/>
          <w:b/>
          <w:bCs/>
          <w:sz w:val="24"/>
          <w:szCs w:val="24"/>
        </w:rPr>
        <w:t>ered L1 measurement reporting</w:t>
      </w:r>
    </w:p>
    <w:p>
      <w:pPr>
        <w:pStyle w:val="27"/>
        <w:spacing w:before="120"/>
        <w:rPr>
          <w:rFonts w:eastAsia="宋体" w:cs="Arial"/>
          <w:sz w:val="24"/>
          <w:szCs w:val="24"/>
        </w:rPr>
      </w:pPr>
      <w:r>
        <w:rPr>
          <w:rFonts w:cs="Arial"/>
          <w:sz w:val="24"/>
          <w:szCs w:val="24"/>
        </w:rPr>
        <w:t>Agenda item:</w:t>
      </w:r>
      <w:r>
        <w:rPr>
          <w:rFonts w:cs="Arial"/>
          <w:sz w:val="24"/>
          <w:szCs w:val="24"/>
        </w:rPr>
        <w:tab/>
      </w:r>
      <w:r>
        <w:rPr>
          <w:rFonts w:cs="Arial"/>
          <w:sz w:val="24"/>
          <w:szCs w:val="24"/>
        </w:rPr>
        <w:t>8.6.3</w:t>
      </w:r>
    </w:p>
    <w:p>
      <w:pPr>
        <w:pStyle w:val="27"/>
        <w:spacing w:before="120"/>
        <w:rPr>
          <w:rFonts w:cs="Arial"/>
          <w:sz w:val="24"/>
          <w:szCs w:val="24"/>
        </w:rPr>
      </w:pPr>
      <w:r>
        <w:rPr>
          <w:rFonts w:cs="Arial"/>
          <w:sz w:val="24"/>
          <w:szCs w:val="24"/>
        </w:rPr>
        <w:t>Document for:</w:t>
      </w:r>
      <w:r>
        <w:rPr>
          <w:rFonts w:cs="Arial"/>
          <w:sz w:val="24"/>
          <w:szCs w:val="24"/>
        </w:rPr>
        <w:tab/>
      </w:r>
      <w:r>
        <w:rPr>
          <w:rFonts w:cs="Arial"/>
          <w:sz w:val="24"/>
          <w:szCs w:val="24"/>
        </w:rPr>
        <w:t>Discussion and decision</w:t>
      </w:r>
    </w:p>
    <w:p>
      <w:pPr>
        <w:pStyle w:val="2"/>
        <w:spacing w:before="120" w:after="120"/>
      </w:pPr>
      <w:r>
        <w:rPr>
          <w:rFonts w:hint="eastAsia"/>
        </w:rPr>
        <w:t>Introduction</w:t>
      </w:r>
    </w:p>
    <w:p>
      <w:pPr>
        <w:spacing w:before="120" w:after="120"/>
        <w:rPr>
          <w:rFonts w:eastAsia="宋体"/>
        </w:rPr>
      </w:pPr>
      <w:r>
        <w:rPr>
          <w:rFonts w:eastAsia="宋体"/>
        </w:rPr>
        <w:t>At last meeting, we discussed event-triggered L1 measurement reporting for LTM and made the following agreement:</w:t>
      </w:r>
    </w:p>
    <w:p>
      <w:pPr>
        <w:pStyle w:val="54"/>
        <w:pBdr>
          <w:top w:val="single" w:color="auto" w:sz="4" w:space="1"/>
          <w:left w:val="single" w:color="auto" w:sz="4" w:space="4"/>
          <w:bottom w:val="single" w:color="auto" w:sz="4" w:space="1"/>
          <w:right w:val="single" w:color="auto" w:sz="4" w:space="4"/>
        </w:pBdr>
        <w:spacing w:before="120" w:after="120"/>
        <w:rPr>
          <w:b/>
          <w:bCs/>
          <w:lang w:val="en-US"/>
        </w:rPr>
      </w:pPr>
      <w:r>
        <w:rPr>
          <w:b/>
          <w:bCs/>
          <w:lang w:val="en-US"/>
        </w:rPr>
        <w:t>Agreements on measurements:</w:t>
      </w:r>
    </w:p>
    <w:p>
      <w:pPr>
        <w:pStyle w:val="54"/>
        <w:numPr>
          <w:ilvl w:val="0"/>
          <w:numId w:val="6"/>
        </w:numPr>
        <w:pBdr>
          <w:top w:val="single" w:color="auto" w:sz="4" w:space="1"/>
          <w:left w:val="single" w:color="auto" w:sz="4" w:space="4"/>
          <w:bottom w:val="single" w:color="auto" w:sz="4" w:space="1"/>
          <w:right w:val="single" w:color="auto" w:sz="4" w:space="4"/>
        </w:pBdr>
        <w:spacing w:beforeLines="0" w:after="0" w:afterLines="0" w:line="240" w:lineRule="auto"/>
        <w:rPr>
          <w:lang w:val="en-US"/>
        </w:rPr>
      </w:pPr>
      <w:r>
        <w:t>L1 LTM measurement event configuration is associated with L1 measurement resource configuration provided in LTM configuration via RRC signaling.</w:t>
      </w:r>
    </w:p>
    <w:p>
      <w:pPr>
        <w:spacing w:before="120" w:after="120"/>
      </w:pPr>
      <w:r>
        <w:rPr>
          <w:rFonts w:eastAsia="宋体"/>
        </w:rPr>
        <w:t xml:space="preserve">In this contribution, we discussed </w:t>
      </w:r>
      <w:r>
        <w:rPr>
          <w:rFonts w:hint="eastAsia" w:eastAsia="宋体"/>
        </w:rPr>
        <w:t>open</w:t>
      </w:r>
      <w:r>
        <w:rPr>
          <w:rFonts w:eastAsia="宋体"/>
        </w:rPr>
        <w:t xml:space="preserve"> </w:t>
      </w:r>
      <w:r>
        <w:rPr>
          <w:rFonts w:hint="eastAsia" w:eastAsia="宋体"/>
        </w:rPr>
        <w:t>issues</w:t>
      </w:r>
      <w:r>
        <w:rPr>
          <w:rFonts w:eastAsia="宋体"/>
        </w:rPr>
        <w:t xml:space="preserve"> for event-triggered L1 measurement reporting. </w:t>
      </w:r>
    </w:p>
    <w:p>
      <w:pPr>
        <w:pStyle w:val="2"/>
        <w:spacing w:before="120" w:after="120"/>
      </w:pPr>
      <w:r>
        <w:rPr>
          <w:rFonts w:hint="eastAsia"/>
        </w:rPr>
        <w:t>Discussion</w:t>
      </w:r>
      <w:r>
        <w:t>s</w:t>
      </w:r>
      <w:r>
        <w:rPr>
          <w:rFonts w:hint="eastAsia"/>
        </w:rPr>
        <w:t xml:space="preserve"> </w:t>
      </w:r>
    </w:p>
    <w:p>
      <w:pPr>
        <w:spacing w:before="120" w:after="120"/>
      </w:pPr>
      <w:r>
        <w:t xml:space="preserve">In Rel-18 LTM, the legacy CSI reporting mechanism is reused for LTM L1 measurement reporting. The NW shall provide the reporting type, e.g., periodic, semi persistent and aperiodic, the associated report configuration and the corresponding reporting resources via the </w:t>
      </w:r>
      <w:r>
        <w:rPr>
          <w:i/>
        </w:rPr>
        <w:t>LTM-CSI-ReportConfig</w:t>
      </w:r>
      <w:r>
        <w:t xml:space="preserve"> in the serving cell configuration. Accordingly, the UE shall report the L1 measurements on candidate cells and/or the serving cell via periodic PUCCH or UCI on PUSCH. In this way, frequent L1 measurement reporting shall be triggered with large signalling overhead. </w:t>
      </w:r>
    </w:p>
    <w:p>
      <w:pPr>
        <w:pStyle w:val="28"/>
        <w:spacing w:before="120" w:after="120"/>
        <w:ind w:left="1273" w:hanging="1273" w:hangingChars="634"/>
      </w:pPr>
      <w:bookmarkStart w:id="0" w:name="_Toc162859514"/>
      <w:bookmarkStart w:id="1" w:name="_Toc166095951"/>
      <w:bookmarkStart w:id="2" w:name="_Toc166003402"/>
      <w:bookmarkStart w:id="3" w:name="_Toc163045294"/>
      <w:r>
        <w:t>The existing LTM CSI reporting mechanism may lead to large signalling overhead due to the frequent L1 reporting.</w:t>
      </w:r>
      <w:bookmarkEnd w:id="0"/>
      <w:bookmarkEnd w:id="1"/>
      <w:bookmarkEnd w:id="2"/>
      <w:bookmarkEnd w:id="3"/>
    </w:p>
    <w:p>
      <w:pPr>
        <w:spacing w:before="120" w:after="120"/>
      </w:pPr>
      <w:r>
        <w:t>Besides, due to the fast-fading characteristics of radio channel, the single L1 measurement result may be lack of robustness, which shall cause frequent cell switch or ping-pong handover. Especially for the inter-CU LTM, the frequent ping-pong handover will lead to frequent data forwarding and path switching, which may cause the longer interruption time.</w:t>
      </w:r>
    </w:p>
    <w:p>
      <w:pPr>
        <w:pStyle w:val="28"/>
        <w:spacing w:before="120" w:after="120"/>
        <w:ind w:left="1273" w:hanging="1273" w:hangingChars="634"/>
      </w:pPr>
      <w:bookmarkStart w:id="4" w:name="_Toc162859515"/>
      <w:bookmarkStart w:id="5" w:name="_Toc166095952"/>
      <w:bookmarkStart w:id="6" w:name="_Toc163045295"/>
      <w:bookmarkStart w:id="7" w:name="_Toc166003403"/>
      <w:r>
        <w:t>Single L1 measurement result is lack of robustness due to the fast-fading characteristics of radio channel. Only relying on single L1 measurement to trigger LTM execution may cause frequent cell switch or ping-pong handover.</w:t>
      </w:r>
      <w:bookmarkEnd w:id="4"/>
      <w:bookmarkEnd w:id="5"/>
      <w:bookmarkEnd w:id="6"/>
      <w:bookmarkEnd w:id="7"/>
    </w:p>
    <w:p>
      <w:pPr>
        <w:spacing w:before="120" w:after="120"/>
      </w:pPr>
      <w:r>
        <w:t xml:space="preserve">In order to overcome the drawbacks mentioned above, the event-triggered L1 measurement reporting is to be introduced in Rel-19 LTM. Considering that the event-triggered L1 measurement reporting for LTM is mainly designed for mobility, and RAN2 is the primary WG responsible for the mobility design, it’s reasonable to let the </w:t>
      </w:r>
      <w:bookmarkStart w:id="8" w:name="_Hlk162373675"/>
      <w:r>
        <w:t>RAN2 decide the general framework for the event-triggered L1 measurement reporting, e.g. the definition of event type, the triggering mechanism</w:t>
      </w:r>
      <w:bookmarkEnd w:id="8"/>
      <w:r>
        <w:t xml:space="preserve">. Since RAN1 will start their discussion on this topic at August meeting, it would be better to provide our progress to RAN1 at Q3/2024.   </w:t>
      </w:r>
    </w:p>
    <w:p>
      <w:pPr>
        <w:pStyle w:val="29"/>
        <w:numPr>
          <w:ilvl w:val="0"/>
          <w:numId w:val="7"/>
        </w:numPr>
        <w:spacing w:before="120" w:after="120"/>
        <w:ind w:left="1132" w:hanging="1132" w:hangingChars="564"/>
        <w:rPr>
          <w:lang w:val="en-US"/>
        </w:rPr>
      </w:pPr>
      <w:bookmarkStart w:id="9" w:name="_Toc162859518"/>
      <w:bookmarkStart w:id="10" w:name="_Toc163045300"/>
      <w:bookmarkStart w:id="11" w:name="_Toc166003407"/>
      <w:bookmarkStart w:id="12" w:name="_Toc166095956"/>
      <w:bookmarkStart w:id="13" w:name="_Toc166096042"/>
      <w:bookmarkStart w:id="14" w:name="_Toc166096025"/>
      <w:r>
        <w:rPr>
          <w:lang w:val="en-US"/>
        </w:rPr>
        <w:t>RAN2 to discuss and decide the general framework for the event-triggered L1 measurement reporting, e.g. the definition of event type, the triggering mechanism.</w:t>
      </w:r>
      <w:bookmarkEnd w:id="9"/>
      <w:r>
        <w:rPr>
          <w:lang w:val="en-US"/>
        </w:rPr>
        <w:t xml:space="preserve"> RAN2 to provide inputs to RAN1 at Q3/2024.</w:t>
      </w:r>
      <w:bookmarkEnd w:id="10"/>
      <w:bookmarkEnd w:id="11"/>
      <w:bookmarkEnd w:id="12"/>
      <w:bookmarkEnd w:id="13"/>
      <w:bookmarkEnd w:id="14"/>
    </w:p>
    <w:p>
      <w:pPr>
        <w:spacing w:before="120" w:after="120"/>
        <w:rPr>
          <w:lang w:val="en-GB"/>
        </w:rPr>
      </w:pPr>
      <w:r>
        <w:rPr>
          <w:lang w:val="en-GB"/>
        </w:rPr>
        <w:t xml:space="preserve">In the L3 RRM measurement, several events (e.g. Event Ax) have been introduced to determine whether the radio quality of serving cell or neighbour cell is good. Among them, </w:t>
      </w:r>
      <w:bookmarkStart w:id="15" w:name="_Hlk162374002"/>
      <w:r>
        <w:rPr>
          <w:lang w:val="en-GB"/>
        </w:rPr>
        <w:t>Event A3/A4/A5</w:t>
      </w:r>
      <w:bookmarkEnd w:id="15"/>
      <w:r>
        <w:rPr>
          <w:lang w:val="en-GB"/>
        </w:rPr>
        <w:t xml:space="preserve"> are usually used for the mobility, which compares the radio quality of neighbour cell with the serving cell or the NW-configured threshold. In our view, the L3 RRM similar events (e.g. A3/A4/A5-like events) can be introduced for the event-triggered L1 measurement reporting, to compare the L1 measurement results of candidate with the current serving or a threshold.</w:t>
      </w:r>
    </w:p>
    <w:p>
      <w:pPr>
        <w:pStyle w:val="29"/>
        <w:numPr>
          <w:ilvl w:val="0"/>
          <w:numId w:val="7"/>
        </w:numPr>
        <w:spacing w:before="120" w:after="120"/>
        <w:ind w:left="1132" w:hanging="1132" w:hangingChars="564"/>
        <w:rPr>
          <w:lang w:val="en-US"/>
        </w:rPr>
      </w:pPr>
      <w:bookmarkStart w:id="16" w:name="_Toc162859519"/>
      <w:bookmarkStart w:id="17" w:name="_Toc166003408"/>
      <w:bookmarkStart w:id="18" w:name="_Toc166095957"/>
      <w:bookmarkStart w:id="19" w:name="_Toc163045301"/>
      <w:bookmarkStart w:id="20" w:name="_Toc166096026"/>
      <w:bookmarkStart w:id="21" w:name="_Toc166096043"/>
      <w:r>
        <w:rPr>
          <w:lang w:val="en-US"/>
        </w:rPr>
        <w:t>The L3 RRM-like measurement events are introduced for the event-triggered L1 measurement reporting, at least including:</w:t>
      </w:r>
      <w:bookmarkEnd w:id="16"/>
      <w:bookmarkEnd w:id="17"/>
      <w:bookmarkEnd w:id="18"/>
      <w:bookmarkEnd w:id="19"/>
      <w:bookmarkEnd w:id="20"/>
      <w:bookmarkEnd w:id="21"/>
    </w:p>
    <w:p>
      <w:pPr>
        <w:pStyle w:val="30"/>
        <w:numPr>
          <w:ilvl w:val="0"/>
          <w:numId w:val="8"/>
        </w:numPr>
        <w:ind w:left="989" w:leftChars="354" w:hanging="281" w:hangingChars="140"/>
        <w:rPr>
          <w:i w:val="0"/>
          <w:iCs w:val="0"/>
        </w:rPr>
      </w:pPr>
      <w:bookmarkStart w:id="22" w:name="_Toc166095958"/>
      <w:bookmarkStart w:id="23" w:name="_Toc166096027"/>
      <w:bookmarkStart w:id="24" w:name="_Toc166096044"/>
      <w:bookmarkStart w:id="25" w:name="_Toc162859520"/>
      <w:bookmarkStart w:id="26" w:name="_Toc163045302"/>
      <w:bookmarkStart w:id="27" w:name="_Toc166003409"/>
      <w:r>
        <w:rPr>
          <w:i w:val="0"/>
          <w:iCs w:val="0"/>
        </w:rPr>
        <w:t>A3-like L1 event: the L1 measurement result of candidate becomes offset better than serving;</w:t>
      </w:r>
      <w:bookmarkEnd w:id="22"/>
      <w:bookmarkEnd w:id="23"/>
      <w:bookmarkEnd w:id="24"/>
      <w:bookmarkEnd w:id="25"/>
      <w:bookmarkEnd w:id="26"/>
      <w:bookmarkEnd w:id="27"/>
    </w:p>
    <w:p>
      <w:pPr>
        <w:pStyle w:val="30"/>
        <w:numPr>
          <w:ilvl w:val="0"/>
          <w:numId w:val="8"/>
        </w:numPr>
        <w:ind w:left="989" w:leftChars="354" w:hanging="281" w:hangingChars="140"/>
        <w:rPr>
          <w:i w:val="0"/>
          <w:iCs w:val="0"/>
        </w:rPr>
      </w:pPr>
      <w:bookmarkStart w:id="28" w:name="_Toc166003410"/>
      <w:bookmarkStart w:id="29" w:name="_Toc163045303"/>
      <w:bookmarkStart w:id="30" w:name="_Toc162859521"/>
      <w:bookmarkStart w:id="31" w:name="_Toc166096028"/>
      <w:bookmarkStart w:id="32" w:name="_Toc166095959"/>
      <w:bookmarkStart w:id="33" w:name="_Toc166096045"/>
      <w:r>
        <w:rPr>
          <w:rFonts w:hint="eastAsia"/>
          <w:i w:val="0"/>
          <w:iCs w:val="0"/>
        </w:rPr>
        <w:t xml:space="preserve">A4-like </w:t>
      </w:r>
      <w:r>
        <w:rPr>
          <w:i w:val="0"/>
          <w:iCs w:val="0"/>
        </w:rPr>
        <w:t xml:space="preserve">L1 </w:t>
      </w:r>
      <w:r>
        <w:rPr>
          <w:rFonts w:hint="eastAsia"/>
          <w:i w:val="0"/>
          <w:iCs w:val="0"/>
        </w:rPr>
        <w:t>event: the L1 measurement</w:t>
      </w:r>
      <w:r>
        <w:rPr>
          <w:i w:val="0"/>
          <w:iCs w:val="0"/>
        </w:rPr>
        <w:t xml:space="preserve"> result</w:t>
      </w:r>
      <w:r>
        <w:rPr>
          <w:rFonts w:hint="eastAsia"/>
          <w:i w:val="0"/>
          <w:iCs w:val="0"/>
        </w:rPr>
        <w:t xml:space="preserve"> of candidate becomes better than</w:t>
      </w:r>
      <w:r>
        <w:rPr>
          <w:i w:val="0"/>
          <w:iCs w:val="0"/>
        </w:rPr>
        <w:t xml:space="preserve"> a </w:t>
      </w:r>
      <w:r>
        <w:rPr>
          <w:rFonts w:hint="eastAsia"/>
          <w:i w:val="0"/>
          <w:iCs w:val="0"/>
        </w:rPr>
        <w:t>threshold</w:t>
      </w:r>
      <w:r>
        <w:rPr>
          <w:i w:val="0"/>
          <w:iCs w:val="0"/>
        </w:rPr>
        <w:t>;</w:t>
      </w:r>
      <w:bookmarkEnd w:id="28"/>
      <w:bookmarkEnd w:id="29"/>
      <w:bookmarkEnd w:id="30"/>
      <w:bookmarkEnd w:id="31"/>
      <w:bookmarkEnd w:id="32"/>
      <w:bookmarkEnd w:id="33"/>
    </w:p>
    <w:p>
      <w:pPr>
        <w:pStyle w:val="30"/>
        <w:numPr>
          <w:ilvl w:val="0"/>
          <w:numId w:val="8"/>
        </w:numPr>
        <w:ind w:left="989" w:leftChars="354" w:hanging="281" w:hangingChars="140"/>
        <w:rPr>
          <w:i w:val="0"/>
          <w:iCs w:val="0"/>
        </w:rPr>
      </w:pPr>
      <w:bookmarkStart w:id="34" w:name="_Toc166096029"/>
      <w:bookmarkStart w:id="35" w:name="_Toc166095960"/>
      <w:bookmarkStart w:id="36" w:name="_Toc166096046"/>
      <w:bookmarkStart w:id="37" w:name="_Toc162859522"/>
      <w:bookmarkStart w:id="38" w:name="_Toc163045304"/>
      <w:bookmarkStart w:id="39" w:name="_Toc166003411"/>
      <w:r>
        <w:rPr>
          <w:rFonts w:hint="eastAsia"/>
          <w:i w:val="0"/>
          <w:iCs w:val="0"/>
        </w:rPr>
        <w:t xml:space="preserve">A5-like </w:t>
      </w:r>
      <w:r>
        <w:rPr>
          <w:i w:val="0"/>
          <w:iCs w:val="0"/>
        </w:rPr>
        <w:t xml:space="preserve">L1 </w:t>
      </w:r>
      <w:r>
        <w:rPr>
          <w:rFonts w:hint="eastAsia"/>
          <w:i w:val="0"/>
          <w:iCs w:val="0"/>
        </w:rPr>
        <w:t>event: the L1 measurement</w:t>
      </w:r>
      <w:r>
        <w:rPr>
          <w:i w:val="0"/>
          <w:iCs w:val="0"/>
        </w:rPr>
        <w:t xml:space="preserve"> result</w:t>
      </w:r>
      <w:r>
        <w:rPr>
          <w:rFonts w:hint="eastAsia"/>
          <w:i w:val="0"/>
          <w:iCs w:val="0"/>
        </w:rPr>
        <w:t xml:space="preserve"> of serving becomes worse than threshold1 AND the L1 measurement</w:t>
      </w:r>
      <w:r>
        <w:rPr>
          <w:i w:val="0"/>
          <w:iCs w:val="0"/>
        </w:rPr>
        <w:t xml:space="preserve"> result</w:t>
      </w:r>
      <w:r>
        <w:rPr>
          <w:rFonts w:hint="eastAsia"/>
          <w:i w:val="0"/>
          <w:iCs w:val="0"/>
        </w:rPr>
        <w:t xml:space="preserve"> of candidate becomes better than threshold2</w:t>
      </w:r>
      <w:r>
        <w:rPr>
          <w:i w:val="0"/>
          <w:iCs w:val="0"/>
        </w:rPr>
        <w:t>.</w:t>
      </w:r>
      <w:bookmarkEnd w:id="34"/>
      <w:bookmarkEnd w:id="35"/>
      <w:bookmarkEnd w:id="36"/>
      <w:bookmarkEnd w:id="37"/>
      <w:bookmarkEnd w:id="38"/>
      <w:bookmarkEnd w:id="39"/>
    </w:p>
    <w:p>
      <w:pPr>
        <w:tabs>
          <w:tab w:val="left" w:pos="420"/>
        </w:tabs>
        <w:spacing w:before="120" w:after="120"/>
        <w:rPr>
          <w:lang w:val="en-GB"/>
        </w:rPr>
      </w:pPr>
      <w:r>
        <w:rPr>
          <w:lang w:val="en-GB"/>
        </w:rPr>
        <w:t xml:space="preserve">For the L3 RRM measurement, the cell-level L3 measurement result of serving/neighbour cell is used for evaluation of the events. The cell-level L3 measurement result is derived from the beam-level L3 measurement result (e.g. based on SSB or CSI-RS). Besides, for the cell-level quantity derivation, the NW can configure the absolute threshold for the consolidation of beam-level measurement results (e.g. </w:t>
      </w:r>
      <w:r>
        <w:rPr>
          <w:i/>
          <w:lang w:val="en-GB"/>
        </w:rPr>
        <w:t>absThreshSS-BlocksConsolidation</w:t>
      </w:r>
      <w:r>
        <w:rPr>
          <w:lang w:val="en-GB"/>
        </w:rPr>
        <w:t xml:space="preserve">) and the maximum number of beams to be averaged (e.g. </w:t>
      </w:r>
      <w:r>
        <w:rPr>
          <w:i/>
          <w:lang w:val="en-GB"/>
        </w:rPr>
        <w:t>nrofSS-BlocksToAverage</w:t>
      </w:r>
      <w:r>
        <w:rPr>
          <w:lang w:val="en-GB"/>
        </w:rPr>
        <w:t>). If such parameters are provided by the NW, the UE shall derive the cell-level L3 measurement result by consolidating multiple beam-level L3 measurement results above the absolute threshold. Otherwise, the UE shall derive the cell-level L3 measurement result based on the best beam measurement quantity of this cell.</w:t>
      </w:r>
    </w:p>
    <w:p>
      <w:pPr>
        <w:pStyle w:val="28"/>
        <w:spacing w:before="120" w:after="120"/>
        <w:ind w:left="1273" w:hanging="1273" w:hangingChars="634"/>
      </w:pPr>
      <w:bookmarkStart w:id="40" w:name="_Toc166095953"/>
      <w:bookmarkStart w:id="41" w:name="_Toc162859516"/>
      <w:bookmarkStart w:id="42" w:name="_Toc166003404"/>
      <w:bookmarkStart w:id="43" w:name="_Toc163045296"/>
      <w:r>
        <w:rPr>
          <w:rFonts w:hint="eastAsia"/>
          <w:lang w:eastAsia="zh-CN"/>
        </w:rPr>
        <w:t>For</w:t>
      </w:r>
      <w:r>
        <w:t xml:space="preserve"> L3 RRM measurement events, the cell-level L3 measurement result is used for the event evaluation, which is derived from the beam-level L3 measurement result of the best beam or consolidated from several beam-level L3 measurement results above an absolute threshold.</w:t>
      </w:r>
      <w:bookmarkEnd w:id="40"/>
      <w:bookmarkEnd w:id="41"/>
      <w:bookmarkEnd w:id="42"/>
      <w:bookmarkEnd w:id="43"/>
    </w:p>
    <w:p>
      <w:pPr>
        <w:tabs>
          <w:tab w:val="left" w:pos="420"/>
        </w:tabs>
        <w:spacing w:before="120" w:after="120"/>
        <w:rPr>
          <w:lang w:val="en-GB"/>
        </w:rPr>
      </w:pPr>
      <w:r>
        <w:rPr>
          <w:lang w:val="en-GB"/>
        </w:rPr>
        <w:t xml:space="preserve">Currently, the L1 measurement for LTM is performed based on the reference signal(s) of the candidate cell, and the beam-level measurement results are reported to the NW for the triggering of LTM as well as early sync operation, e.g. TCI-state activation, early TA acquisition. Thus, it’s natural to consider the beam-level measurement result as a kind of input for the L1 event evaluation. Taking A3-like L1 event as an example, the candidate beam of candidate cell becomes offset better than the beam of serving cell. </w:t>
      </w:r>
    </w:p>
    <w:p>
      <w:pPr>
        <w:tabs>
          <w:tab w:val="left" w:pos="420"/>
        </w:tabs>
        <w:spacing w:before="120" w:after="120"/>
        <w:rPr>
          <w:lang w:val="en-GB"/>
        </w:rPr>
      </w:pPr>
      <w:r>
        <w:rPr>
          <w:lang w:val="en-GB"/>
        </w:rPr>
        <w:t xml:space="preserve">Besides, since the reporting triggered by the L1 event is mainly used for the mobility decision, comprehensive consideration of cell-level measurement results can help to select the target cell and improve the mobility robustness. In some cases, the quantity of the best beam may not fully reflect the quantity of the cell, e.g. only one strongest beam much above a threshold but other beams far below the threshold. In this case, due to the poor quantity of most beams in the target cell, another cell switch may be triggered quickly after the UE switches to this target cell, which may cause frequent ping-pong handover or too-short stay. In order to mitigate the ping-pong effect caused by the single beam-level measurement results, the cell-level measurement results can also be considered as the input for the L1 event evaluation. The cell-level measurement results could be derived from the consolidation of multiple beams of a cell, like L3 RRM measurement.  </w:t>
      </w:r>
    </w:p>
    <w:p>
      <w:pPr>
        <w:pStyle w:val="29"/>
        <w:numPr>
          <w:ilvl w:val="0"/>
          <w:numId w:val="7"/>
        </w:numPr>
        <w:spacing w:before="120" w:after="120"/>
        <w:ind w:left="1132" w:hanging="1132" w:hangingChars="564"/>
        <w:rPr>
          <w:lang w:val="en-US"/>
        </w:rPr>
      </w:pPr>
      <w:bookmarkStart w:id="44" w:name="_Toc163045305"/>
      <w:bookmarkStart w:id="45" w:name="_Toc162859523"/>
      <w:bookmarkStart w:id="46" w:name="_Toc166095961"/>
      <w:bookmarkStart w:id="47" w:name="_Toc166003412"/>
      <w:bookmarkStart w:id="48" w:name="_Toc166096047"/>
      <w:bookmarkStart w:id="49" w:name="_Toc166096030"/>
      <w:r>
        <w:rPr>
          <w:lang w:val="en-US"/>
        </w:rPr>
        <w:t xml:space="preserve">For the input of the L1 event evaluation, </w:t>
      </w:r>
      <w:r>
        <w:rPr>
          <w:rFonts w:hint="eastAsia"/>
          <w:lang w:val="en-US"/>
        </w:rPr>
        <w:t>RAN2</w:t>
      </w:r>
      <w:r>
        <w:rPr>
          <w:lang w:val="en-US"/>
        </w:rPr>
        <w:t xml:space="preserve"> to </w:t>
      </w:r>
      <w:bookmarkEnd w:id="44"/>
      <w:bookmarkEnd w:id="45"/>
      <w:r>
        <w:rPr>
          <w:lang w:val="en-US"/>
        </w:rPr>
        <w:t xml:space="preserve">consider both beam-level measurement result and cell-level measurement result (e.g. </w:t>
      </w:r>
      <w:r>
        <w:t>based on the consolidation of multiple beams of a cell</w:t>
      </w:r>
      <w:r>
        <w:rPr>
          <w:lang w:val="en-US"/>
        </w:rPr>
        <w:t>).</w:t>
      </w:r>
      <w:bookmarkEnd w:id="46"/>
      <w:bookmarkEnd w:id="47"/>
      <w:bookmarkEnd w:id="48"/>
      <w:bookmarkEnd w:id="49"/>
    </w:p>
    <w:p>
      <w:pPr>
        <w:spacing w:before="120" w:after="120"/>
        <w:rPr>
          <w:lang w:val="en-GB"/>
        </w:rPr>
      </w:pPr>
      <w:r>
        <w:rPr>
          <w:lang w:val="en-GB"/>
        </w:rPr>
        <w:t xml:space="preserve">If the beam-level measurement result is taken as the input of L1 event evaluation, we need to further discuss how to understand the beam of candidate cell and serving cell. For example, the beam could be the best beam of the candidate/serving cell, or the beam associated with the activated TCI-state. Besides, if we introduce some criteria like </w:t>
      </w:r>
      <w:r>
        <w:rPr>
          <w:i/>
          <w:lang w:val="en-GB"/>
        </w:rPr>
        <w:t>TimeToTrigger</w:t>
      </w:r>
      <w:r>
        <w:rPr>
          <w:lang w:val="en-GB"/>
        </w:rPr>
        <w:t xml:space="preserve"> for the event evaluation, we may need to further consider whether the change of the best beam of a cell shall reset the event evaluation for the cell. For example, the best beam (e.g. beam_1) of a candidate cell meets the entering condition of the event, the UE starts the </w:t>
      </w:r>
      <w:r>
        <w:rPr>
          <w:i/>
          <w:lang w:val="en-GB"/>
        </w:rPr>
        <w:t xml:space="preserve">TimeToTrigger </w:t>
      </w:r>
      <w:r>
        <w:rPr>
          <w:lang w:val="en-GB"/>
        </w:rPr>
        <w:t xml:space="preserve">timer. But then the best beam of the candidate cell is changed to another beam (e.g. beam_2) and the beam_1 becomes not to meet the entering condition of the event during the timer is running. In this case, does the UE need to reset the timer and re-evaluate the new best beam with restarting the timer? If yes, the triggering of the L1 report may be delayed due to the change of the best beam during the timer is running. An alternative way is to continue the evaluation of the event if at least one candidate beam of the candidate cell meets the entering condition during the </w:t>
      </w:r>
      <w:r>
        <w:rPr>
          <w:i/>
          <w:lang w:val="en-GB"/>
        </w:rPr>
        <w:t xml:space="preserve">TimeToTrigger </w:t>
      </w:r>
      <w:r>
        <w:rPr>
          <w:lang w:val="en-GB"/>
        </w:rPr>
        <w:t>timer is running, i.e. the change of the best beam shall not impact the event evaluation for a cell.</w:t>
      </w:r>
    </w:p>
    <w:p>
      <w:pPr>
        <w:pStyle w:val="29"/>
        <w:numPr>
          <w:ilvl w:val="0"/>
          <w:numId w:val="7"/>
        </w:numPr>
        <w:spacing w:before="120" w:after="120"/>
        <w:ind w:left="1132" w:hanging="1132" w:hangingChars="564"/>
        <w:rPr>
          <w:lang w:val="en-US"/>
        </w:rPr>
      </w:pPr>
      <w:bookmarkStart w:id="50" w:name="_Toc166003413"/>
      <w:bookmarkStart w:id="51" w:name="_Toc166096048"/>
      <w:bookmarkStart w:id="52" w:name="_Toc166096031"/>
      <w:bookmarkStart w:id="53" w:name="_Toc166095962"/>
      <w:r>
        <w:rPr>
          <w:lang w:val="en-US"/>
        </w:rPr>
        <w:t>For the event evaluation based on beam-level measurement result, RAN2 to discuss how to understand the beam of candidate/serving cell and whether to reset the event evaluation for a cell if the best beam of the cell is changed during the event evaluation.</w:t>
      </w:r>
      <w:bookmarkEnd w:id="50"/>
      <w:bookmarkEnd w:id="51"/>
      <w:bookmarkEnd w:id="52"/>
      <w:bookmarkEnd w:id="53"/>
    </w:p>
    <w:p>
      <w:pPr>
        <w:spacing w:before="120" w:after="120"/>
        <w:rPr>
          <w:lang w:val="en-GB"/>
        </w:rPr>
      </w:pPr>
      <w:r>
        <w:rPr>
          <w:lang w:val="en-GB"/>
        </w:rPr>
        <w:t xml:space="preserve">Furthermore, the </w:t>
      </w:r>
      <w:r>
        <w:rPr>
          <w:i/>
          <w:lang w:val="en-GB"/>
        </w:rPr>
        <w:t>TimeToTrigger</w:t>
      </w:r>
      <w:r>
        <w:rPr>
          <w:lang w:val="en-GB"/>
        </w:rPr>
        <w:t xml:space="preserve"> and L3 filtering mechanism are introduced in the current RRM measurement to ensure the robustness of L3 measurement results. We can consider some similar criteria for the initiation of event-triggered L1 measurement reporting, to improve the robustness of L1 measurement reporting. For example, the L1 measurement result of the cell or beam needs to meet the entering condition of the event consecutive N times, for N times within a period of time, or continuously within a period of timer (similar to TTT), to trigger the L1 measurement reporting. During the event evaluation, it’s assumed that the UE performs L1 measurements periodically, and the entering condition of the L1 event can be evaluated periodically.</w:t>
      </w:r>
    </w:p>
    <w:p>
      <w:pPr>
        <w:pStyle w:val="29"/>
        <w:numPr>
          <w:ilvl w:val="0"/>
          <w:numId w:val="7"/>
        </w:numPr>
        <w:spacing w:before="120" w:after="120"/>
        <w:ind w:left="1132" w:hanging="1132" w:hangingChars="564"/>
        <w:rPr>
          <w:lang w:val="en-US"/>
        </w:rPr>
      </w:pPr>
      <w:bookmarkStart w:id="54" w:name="_Toc162859526"/>
      <w:bookmarkStart w:id="55" w:name="_Toc166096032"/>
      <w:bookmarkStart w:id="56" w:name="_Toc163045308"/>
      <w:bookmarkStart w:id="57" w:name="_Toc166096049"/>
      <w:bookmarkStart w:id="58" w:name="_Toc166003414"/>
      <w:bookmarkStart w:id="59" w:name="_Toc166095963"/>
      <w:r>
        <w:rPr>
          <w:lang w:val="en-US"/>
        </w:rPr>
        <w:t xml:space="preserve">RAN2 to consider some criteria to improve the robustness of </w:t>
      </w:r>
      <w:r>
        <w:t>event-triggered L1 measurement reporting</w:t>
      </w:r>
      <w:r>
        <w:rPr>
          <w:lang w:val="en-US"/>
        </w:rPr>
        <w:t>, e.g. including:</w:t>
      </w:r>
      <w:bookmarkEnd w:id="54"/>
      <w:bookmarkEnd w:id="55"/>
      <w:bookmarkEnd w:id="56"/>
      <w:bookmarkEnd w:id="57"/>
      <w:bookmarkEnd w:id="58"/>
      <w:bookmarkEnd w:id="59"/>
      <w:r>
        <w:rPr>
          <w:lang w:val="en-US"/>
        </w:rPr>
        <w:t xml:space="preserve">  </w:t>
      </w:r>
    </w:p>
    <w:p>
      <w:pPr>
        <w:pStyle w:val="30"/>
        <w:numPr>
          <w:ilvl w:val="0"/>
          <w:numId w:val="8"/>
        </w:numPr>
        <w:ind w:left="989" w:leftChars="354" w:hanging="281" w:hangingChars="140"/>
        <w:rPr>
          <w:i w:val="0"/>
          <w:iCs w:val="0"/>
        </w:rPr>
      </w:pPr>
      <w:bookmarkStart w:id="60" w:name="_Toc162859527"/>
      <w:bookmarkStart w:id="61" w:name="_Toc166003415"/>
      <w:bookmarkStart w:id="62" w:name="_Toc166095964"/>
      <w:bookmarkStart w:id="63" w:name="_Toc163045309"/>
      <w:bookmarkStart w:id="64" w:name="_Toc166096033"/>
      <w:bookmarkStart w:id="65" w:name="_Toc166096050"/>
      <w:r>
        <w:rPr>
          <w:i w:val="0"/>
          <w:iCs w:val="0"/>
        </w:rPr>
        <w:t>Option 1: UE triggers L1 event reporting when the entering condition is met consecutively N times</w:t>
      </w:r>
      <w:bookmarkEnd w:id="60"/>
      <w:r>
        <w:rPr>
          <w:i w:val="0"/>
          <w:iCs w:val="0"/>
        </w:rPr>
        <w:t xml:space="preserve"> (assuming the UE performs L1 measurements periodically, and the entering condition can be evaluated periodically);</w:t>
      </w:r>
      <w:bookmarkEnd w:id="61"/>
      <w:bookmarkEnd w:id="62"/>
      <w:bookmarkEnd w:id="63"/>
      <w:bookmarkEnd w:id="64"/>
      <w:bookmarkEnd w:id="65"/>
    </w:p>
    <w:p>
      <w:pPr>
        <w:pStyle w:val="30"/>
        <w:numPr>
          <w:ilvl w:val="0"/>
          <w:numId w:val="8"/>
        </w:numPr>
        <w:ind w:left="989" w:leftChars="354" w:hanging="281" w:hangingChars="140"/>
        <w:rPr>
          <w:i w:val="0"/>
          <w:iCs w:val="0"/>
        </w:rPr>
      </w:pPr>
      <w:bookmarkStart w:id="66" w:name="_Toc166003416"/>
      <w:bookmarkStart w:id="67" w:name="_Toc166095965"/>
      <w:bookmarkStart w:id="68" w:name="_Toc166096034"/>
      <w:bookmarkStart w:id="69" w:name="_Toc166096051"/>
      <w:bookmarkStart w:id="70" w:name="_Toc163045310"/>
      <w:bookmarkStart w:id="71" w:name="_Toc162859528"/>
      <w:r>
        <w:rPr>
          <w:i w:val="0"/>
          <w:iCs w:val="0"/>
        </w:rPr>
        <w:t>Option 2: UE triggers L1 event reporting when the entering condition is met N times within a period of time;</w:t>
      </w:r>
      <w:bookmarkEnd w:id="66"/>
      <w:bookmarkEnd w:id="67"/>
      <w:bookmarkEnd w:id="68"/>
      <w:bookmarkEnd w:id="69"/>
      <w:bookmarkEnd w:id="70"/>
      <w:bookmarkEnd w:id="71"/>
    </w:p>
    <w:p>
      <w:pPr>
        <w:pStyle w:val="30"/>
        <w:numPr>
          <w:ilvl w:val="0"/>
          <w:numId w:val="8"/>
        </w:numPr>
        <w:ind w:left="989" w:leftChars="354" w:hanging="281" w:hangingChars="140"/>
        <w:rPr>
          <w:i w:val="0"/>
          <w:iCs w:val="0"/>
        </w:rPr>
      </w:pPr>
      <w:bookmarkStart w:id="72" w:name="_Toc162859529"/>
      <w:bookmarkStart w:id="73" w:name="_Toc166003417"/>
      <w:bookmarkStart w:id="74" w:name="_Toc163045311"/>
      <w:bookmarkStart w:id="75" w:name="_Toc166095966"/>
      <w:bookmarkStart w:id="76" w:name="_Toc166096035"/>
      <w:bookmarkStart w:id="77" w:name="_Toc166096052"/>
      <w:r>
        <w:rPr>
          <w:i w:val="0"/>
          <w:iCs w:val="0"/>
        </w:rPr>
        <w:t>Option 3: UE triggers L1 event reporting when the entering condition is continuously satisfied within a period of time</w:t>
      </w:r>
      <w:bookmarkEnd w:id="72"/>
      <w:r>
        <w:rPr>
          <w:i w:val="0"/>
          <w:iCs w:val="0"/>
        </w:rPr>
        <w:t xml:space="preserve"> (same as TTT).</w:t>
      </w:r>
      <w:bookmarkEnd w:id="73"/>
      <w:bookmarkEnd w:id="74"/>
      <w:bookmarkEnd w:id="75"/>
      <w:bookmarkEnd w:id="76"/>
      <w:bookmarkEnd w:id="77"/>
    </w:p>
    <w:p>
      <w:pPr>
        <w:spacing w:before="120" w:after="120"/>
        <w:rPr>
          <w:lang w:val="en-GB"/>
        </w:rPr>
      </w:pPr>
      <w:r>
        <w:rPr>
          <w:lang w:val="en-GB"/>
        </w:rPr>
        <w:t>Another issue is which layer to perform the event evaluation (i.e. determine whether the L1 event is met) by the UE. There are two alternatives:</w:t>
      </w:r>
    </w:p>
    <w:p>
      <w:pPr>
        <w:pStyle w:val="35"/>
        <w:numPr>
          <w:ilvl w:val="0"/>
          <w:numId w:val="9"/>
        </w:numPr>
        <w:spacing w:before="120" w:after="120"/>
        <w:rPr>
          <w:sz w:val="20"/>
          <w:szCs w:val="20"/>
          <w:lang w:val="en-GB"/>
        </w:rPr>
      </w:pPr>
      <w:r>
        <w:rPr>
          <w:sz w:val="20"/>
          <w:szCs w:val="20"/>
          <w:lang w:val="en-GB"/>
        </w:rPr>
        <w:t>Alt. 1: the UE’s physical layer;</w:t>
      </w:r>
    </w:p>
    <w:p>
      <w:pPr>
        <w:pStyle w:val="35"/>
        <w:numPr>
          <w:ilvl w:val="0"/>
          <w:numId w:val="9"/>
        </w:numPr>
        <w:spacing w:before="120" w:after="120"/>
        <w:rPr>
          <w:sz w:val="20"/>
          <w:szCs w:val="20"/>
          <w:lang w:val="en-GB"/>
        </w:rPr>
      </w:pPr>
      <w:r>
        <w:rPr>
          <w:sz w:val="20"/>
          <w:szCs w:val="20"/>
          <w:lang w:val="en-GB"/>
        </w:rPr>
        <w:t xml:space="preserve">Alt. 2: the UE’s MAC layer. </w:t>
      </w:r>
    </w:p>
    <w:p>
      <w:pPr>
        <w:spacing w:before="120" w:after="120"/>
        <w:rPr>
          <w:lang w:val="en-GB"/>
        </w:rPr>
      </w:pPr>
      <w:r>
        <w:rPr>
          <w:lang w:val="en-GB"/>
        </w:rPr>
        <w:t>Taking the criteria defined above into account, the physical layer can compare the L1 measurement results of the serving and candidate to determine whether the L1 event is met. And it’s possible for the physical layer to record the number of times that the entering condition of the event is met consecutively, i.e. the option 1. However, the physical layer can not maintain a counter or a timer to record the number of times that the entering condition is met non-consecutively, e.g. after a threshold is satisfied N times consecutively, the threshold is not satisfied in N+1 times, then the count will be reset to 0. Thus, it’s not feasible to evaluate the criteria based on option 2 or 3 above in the physical layer.</w:t>
      </w:r>
    </w:p>
    <w:p>
      <w:pPr>
        <w:pStyle w:val="28"/>
        <w:spacing w:before="120" w:after="120"/>
        <w:ind w:left="1273" w:hanging="1273" w:hangingChars="634"/>
      </w:pPr>
      <w:bookmarkStart w:id="78" w:name="_Toc163045297"/>
      <w:bookmarkStart w:id="79" w:name="_Toc166003405"/>
      <w:bookmarkStart w:id="80" w:name="_Toc166095954"/>
      <w:bookmarkStart w:id="81" w:name="_Toc162859517"/>
      <w:r>
        <w:t>Currently, the UE’s physical layer cannot maintain a counter or a timer to record the number of times that the entering condition is met non-consecutively.</w:t>
      </w:r>
      <w:bookmarkEnd w:id="78"/>
      <w:bookmarkEnd w:id="79"/>
      <w:bookmarkEnd w:id="80"/>
      <w:bookmarkEnd w:id="81"/>
    </w:p>
    <w:p>
      <w:pPr>
        <w:spacing w:before="120" w:after="120"/>
        <w:rPr>
          <w:lang w:val="en-GB"/>
        </w:rPr>
      </w:pPr>
      <w:r>
        <w:rPr>
          <w:lang w:val="en-GB"/>
        </w:rPr>
        <w:t>But the count issue can be easily resolved at MAC layer since a counter and a timer can be maintained at the MAC layer, e.g. similar to the counter and timer for beam failure detection. In this way, the physical layer can report the L1 measurement results to the upper layer (e.g. the MAC layer), and the upper layer determines whether the criteria of L1 event(s) is met. Thus, it’s preferred to perform the L1 event evaluation in UE’s MAC layer.</w:t>
      </w:r>
    </w:p>
    <w:p>
      <w:pPr>
        <w:pStyle w:val="29"/>
        <w:numPr>
          <w:ilvl w:val="0"/>
          <w:numId w:val="7"/>
        </w:numPr>
        <w:spacing w:before="120" w:after="120"/>
        <w:ind w:left="1132" w:hanging="1132" w:hangingChars="564"/>
        <w:rPr>
          <w:lang w:val="en-US"/>
        </w:rPr>
      </w:pPr>
      <w:bookmarkStart w:id="82" w:name="_Toc162859530"/>
      <w:bookmarkStart w:id="83" w:name="_Toc163045312"/>
      <w:bookmarkStart w:id="84" w:name="_Toc166095967"/>
      <w:bookmarkStart w:id="85" w:name="_Toc166096053"/>
      <w:bookmarkStart w:id="86" w:name="_Toc166003418"/>
      <w:bookmarkStart w:id="87" w:name="_Toc166096036"/>
      <w:r>
        <w:rPr>
          <w:lang w:val="en-US"/>
        </w:rPr>
        <w:t xml:space="preserve">RAN2 assumes that the L1 event evaluation </w:t>
      </w:r>
      <w:bookmarkEnd w:id="82"/>
      <w:bookmarkEnd w:id="83"/>
      <w:bookmarkStart w:id="88" w:name="_Toc162859531"/>
      <w:bookmarkStart w:id="89" w:name="_Toc163045313"/>
      <w:r>
        <w:rPr>
          <w:lang w:val="en-US"/>
        </w:rPr>
        <w:t>is performed in UE’s MAC layer,</w:t>
      </w:r>
      <w:r>
        <w:t xml:space="preserve"> and inform RAN1 about the conclusion.</w:t>
      </w:r>
      <w:bookmarkEnd w:id="84"/>
      <w:bookmarkEnd w:id="85"/>
      <w:bookmarkEnd w:id="86"/>
      <w:bookmarkEnd w:id="87"/>
    </w:p>
    <w:bookmarkEnd w:id="88"/>
    <w:bookmarkEnd w:id="89"/>
    <w:p>
      <w:pPr>
        <w:spacing w:before="120" w:after="120"/>
      </w:pPr>
      <w:r>
        <w:t xml:space="preserve">Furthermore, we need to consider how to carry the L1 measurement reporting to the NW. There are two options: </w:t>
      </w:r>
    </w:p>
    <w:p>
      <w:pPr>
        <w:pStyle w:val="35"/>
        <w:numPr>
          <w:ilvl w:val="0"/>
          <w:numId w:val="9"/>
        </w:numPr>
        <w:spacing w:before="120" w:after="120"/>
        <w:rPr>
          <w:sz w:val="20"/>
          <w:szCs w:val="20"/>
          <w:lang w:val="en-GB"/>
        </w:rPr>
      </w:pPr>
      <w:r>
        <w:rPr>
          <w:sz w:val="20"/>
          <w:szCs w:val="20"/>
          <w:lang w:val="en-GB"/>
        </w:rPr>
        <w:t>Option 1: MAC CE;</w:t>
      </w:r>
    </w:p>
    <w:p>
      <w:pPr>
        <w:pStyle w:val="35"/>
        <w:numPr>
          <w:ilvl w:val="0"/>
          <w:numId w:val="9"/>
        </w:numPr>
        <w:spacing w:before="120" w:after="120"/>
        <w:rPr>
          <w:sz w:val="20"/>
          <w:szCs w:val="20"/>
          <w:lang w:val="en-GB"/>
        </w:rPr>
      </w:pPr>
      <w:r>
        <w:rPr>
          <w:sz w:val="20"/>
          <w:szCs w:val="20"/>
          <w:lang w:val="en-GB"/>
        </w:rPr>
        <w:t xml:space="preserve">Option 2: UCI. </w:t>
      </w:r>
    </w:p>
    <w:p>
      <w:pPr>
        <w:spacing w:before="120" w:after="120"/>
      </w:pPr>
      <w:r>
        <w:t>The current L1 measurement report is carried by UCI, which is transmitted by PUCCH or PUSCH. Pre-allocated PUCCH resources are reserved by the NW for the periodic L1 measurement reporting. However, for the event-triggered L1 measurement reporting, the L1 measurement report is only triggered when the UE determines that a specific event is met. One of the benefits for the event-triggered reporting is to save the UL transmission resources for the reporting. Thus, it is less efficient on the resources usage if we reuse UCI and pre-allocated UL resources in this case. Besides, the MAC CE can have a variable size to include L1 measurement results for multiple and variable candidate cells and beams (e.g. more than 4) in one reporting instance. It would be more efficient to send the L1 reporting via MAC CE.</w:t>
      </w:r>
    </w:p>
    <w:p>
      <w:pPr>
        <w:pStyle w:val="28"/>
        <w:spacing w:before="120" w:after="120"/>
        <w:ind w:left="1273" w:hanging="1273" w:hangingChars="634"/>
      </w:pPr>
      <w:bookmarkStart w:id="90" w:name="_Toc166003406"/>
      <w:bookmarkStart w:id="91" w:name="_Toc166095955"/>
      <w:r>
        <w:t>Considering that the MAC CE can flexibly include L1 measurement results for multiple and variable candidate cells/beams, it’s more efficient than UCI from the perspective of signaling and UL resources usage.</w:t>
      </w:r>
      <w:bookmarkEnd w:id="90"/>
      <w:bookmarkEnd w:id="91"/>
    </w:p>
    <w:p>
      <w:pPr>
        <w:spacing w:before="120" w:after="120"/>
        <w:rPr>
          <w:lang w:val="en-GB"/>
        </w:rPr>
      </w:pPr>
      <w:r>
        <w:t xml:space="preserve">In addition, if the proposal 6 is agreed, it’s straightforward to initiate the event-triggered L1 measurement reporting in the MAC layer, and carry the reporting via MAC CE. </w:t>
      </w:r>
      <w:r>
        <w:rPr>
          <w:lang w:val="en-GB"/>
        </w:rPr>
        <w:t>Thus, we proposed to use MAC CE for the L1 reporting.</w:t>
      </w:r>
    </w:p>
    <w:p>
      <w:pPr>
        <w:pStyle w:val="29"/>
        <w:numPr>
          <w:ilvl w:val="0"/>
          <w:numId w:val="7"/>
        </w:numPr>
        <w:spacing w:before="120" w:after="120"/>
        <w:ind w:left="1132" w:hanging="1132" w:hangingChars="564"/>
        <w:rPr>
          <w:lang w:val="en-US"/>
        </w:rPr>
      </w:pPr>
      <w:bookmarkStart w:id="92" w:name="_Toc162859533"/>
      <w:bookmarkStart w:id="93" w:name="_Toc163045315"/>
      <w:bookmarkStart w:id="94" w:name="_Toc166003419"/>
      <w:bookmarkStart w:id="95" w:name="_Toc166096054"/>
      <w:bookmarkStart w:id="96" w:name="_Toc166096037"/>
      <w:bookmarkStart w:id="97" w:name="_Toc166095968"/>
      <w:r>
        <w:t xml:space="preserve">RAN2 assumes that MAC CE is used to carry the L1 measurement report triggered by the event, and inform RAN1 about </w:t>
      </w:r>
      <w:bookmarkEnd w:id="92"/>
      <w:bookmarkEnd w:id="93"/>
      <w:r>
        <w:t>the conclusion.</w:t>
      </w:r>
      <w:bookmarkEnd w:id="94"/>
      <w:bookmarkEnd w:id="95"/>
      <w:bookmarkEnd w:id="96"/>
      <w:bookmarkEnd w:id="97"/>
    </w:p>
    <w:p>
      <w:pPr>
        <w:spacing w:before="120" w:after="120"/>
      </w:pPr>
      <w:r>
        <w:t>Regarding the content in the measurement report, the beam-level measurement results should be reported, similar to the existing L1 report. Besides, the information for the triggered event can be reported to inform the NW which event is triggered. In addition, the cell-level measurement results can be included to help the NW select the target candidate cell more comprehensively.</w:t>
      </w:r>
    </w:p>
    <w:p>
      <w:pPr>
        <w:pStyle w:val="29"/>
        <w:numPr>
          <w:ilvl w:val="0"/>
          <w:numId w:val="7"/>
        </w:numPr>
        <w:spacing w:before="120" w:after="120"/>
        <w:ind w:left="1132" w:hanging="1132" w:hangingChars="564"/>
      </w:pPr>
      <w:bookmarkStart w:id="98" w:name="_Toc166003420"/>
      <w:bookmarkStart w:id="99" w:name="_Toc166096038"/>
      <w:bookmarkStart w:id="100" w:name="_Toc166096055"/>
      <w:bookmarkStart w:id="101" w:name="_Toc166095969"/>
      <w:r>
        <w:t>The content of the L1 measurement report triggered by the event can include at least the following information:</w:t>
      </w:r>
      <w:bookmarkEnd w:id="98"/>
      <w:bookmarkEnd w:id="99"/>
      <w:bookmarkEnd w:id="100"/>
      <w:bookmarkEnd w:id="101"/>
    </w:p>
    <w:p>
      <w:pPr>
        <w:pStyle w:val="32"/>
        <w:rPr>
          <w:i w:val="0"/>
        </w:rPr>
      </w:pPr>
      <w:bookmarkStart w:id="102" w:name="_Toc166003421"/>
      <w:bookmarkStart w:id="103" w:name="_Toc166095970"/>
      <w:bookmarkStart w:id="104" w:name="_Toc166096056"/>
      <w:bookmarkStart w:id="105" w:name="_Toc166096039"/>
      <w:r>
        <w:rPr>
          <w:i w:val="0"/>
        </w:rPr>
        <w:t>Information for the triggered event;</w:t>
      </w:r>
      <w:bookmarkEnd w:id="102"/>
      <w:bookmarkEnd w:id="103"/>
      <w:bookmarkEnd w:id="104"/>
      <w:bookmarkEnd w:id="105"/>
    </w:p>
    <w:p>
      <w:pPr>
        <w:pStyle w:val="32"/>
        <w:rPr>
          <w:i w:val="0"/>
        </w:rPr>
      </w:pPr>
      <w:bookmarkStart w:id="106" w:name="_Toc166003422"/>
      <w:bookmarkStart w:id="107" w:name="_Toc166096040"/>
      <w:bookmarkStart w:id="108" w:name="_Toc166095971"/>
      <w:bookmarkStart w:id="109" w:name="_Toc166096057"/>
      <w:r>
        <w:rPr>
          <w:i w:val="0"/>
        </w:rPr>
        <w:t>Beam-level measurement results for the triggered cell(s) and/or the serving cell;</w:t>
      </w:r>
      <w:bookmarkEnd w:id="106"/>
      <w:bookmarkEnd w:id="107"/>
      <w:bookmarkEnd w:id="108"/>
      <w:bookmarkEnd w:id="109"/>
    </w:p>
    <w:p>
      <w:pPr>
        <w:pStyle w:val="32"/>
        <w:rPr>
          <w:i w:val="0"/>
        </w:rPr>
      </w:pPr>
      <w:bookmarkStart w:id="110" w:name="_Toc166095972"/>
      <w:bookmarkStart w:id="111" w:name="_Toc166096058"/>
      <w:bookmarkStart w:id="112" w:name="_Toc166096041"/>
      <w:bookmarkStart w:id="113" w:name="_Toc166003423"/>
      <w:r>
        <w:rPr>
          <w:i w:val="0"/>
        </w:rPr>
        <w:t>Cell-level measurement results for the triggered cell(s) and/or the serving cell.</w:t>
      </w:r>
      <w:bookmarkEnd w:id="110"/>
      <w:bookmarkEnd w:id="111"/>
      <w:bookmarkEnd w:id="112"/>
      <w:bookmarkEnd w:id="113"/>
    </w:p>
    <w:p>
      <w:pPr>
        <w:spacing w:before="120" w:after="120"/>
      </w:pPr>
    </w:p>
    <w:p>
      <w:pPr>
        <w:pStyle w:val="2"/>
        <w:spacing w:before="120" w:after="120"/>
        <w:rPr>
          <w:rFonts w:eastAsia="宋体"/>
        </w:rPr>
      </w:pPr>
      <w:r>
        <w:rPr>
          <w:rFonts w:hint="eastAsia" w:eastAsia="宋体"/>
        </w:rPr>
        <w:t>Conclusion and Proposals</w:t>
      </w:r>
    </w:p>
    <w:p>
      <w:pPr>
        <w:widowControl w:val="0"/>
        <w:adjustRightInd w:val="0"/>
        <w:snapToGrid w:val="0"/>
        <w:spacing w:before="120" w:beforeAutospacing="1" w:after="120" w:line="240" w:lineRule="auto"/>
      </w:pPr>
      <w:r>
        <w:rPr>
          <w:rFonts w:hint="eastAsia" w:eastAsia="宋体"/>
          <w:bCs/>
          <w:szCs w:val="21"/>
        </w:rPr>
        <w:t xml:space="preserve">In this contribution, we discussed the </w:t>
      </w:r>
      <w:r>
        <w:rPr>
          <w:rFonts w:eastAsia="宋体"/>
          <w:bCs/>
          <w:szCs w:val="21"/>
        </w:rPr>
        <w:t>event-triggered L1 measurement reporting</w:t>
      </w:r>
      <w:r>
        <w:rPr>
          <w:rFonts w:hint="eastAsia" w:eastAsia="宋体"/>
          <w:bCs/>
          <w:szCs w:val="21"/>
        </w:rPr>
        <w:t xml:space="preserve"> with the following observations and proposals:</w:t>
      </w:r>
    </w:p>
    <w:p>
      <w:pPr>
        <w:pStyle w:val="15"/>
        <w:tabs>
          <w:tab w:val="left" w:pos="1540"/>
          <w:tab w:val="right" w:leader="dot" w:pos="9650"/>
        </w:tabs>
        <w:spacing w:before="120" w:after="120"/>
        <w:rPr>
          <w:rFonts w:eastAsia="宋体" w:asciiTheme="minorHAnsi" w:hAnsiTheme="minorHAnsi" w:cstheme="minorBidi"/>
          <w:b w:val="0"/>
          <w:i w:val="0"/>
          <w:kern w:val="0"/>
          <w:sz w:val="22"/>
          <w:szCs w:val="22"/>
        </w:rPr>
      </w:pPr>
      <w:r>
        <w:fldChar w:fldCharType="begin"/>
      </w:r>
      <w:r>
        <w:instrText xml:space="preserve"> TOC \n \t "!ZTE-Observation-2021,1,sub-observation,2,3rd level observation,3" </w:instrText>
      </w:r>
      <w:r>
        <w:fldChar w:fldCharType="separate"/>
      </w:r>
      <w:r>
        <w:rPr>
          <w:color w:val="000000"/>
        </w:rPr>
        <w:t>Observation 1:</w:t>
      </w:r>
      <w:r>
        <w:rPr>
          <w:rFonts w:eastAsia="宋体" w:asciiTheme="minorHAnsi" w:hAnsiTheme="minorHAnsi" w:cstheme="minorBidi"/>
          <w:b w:val="0"/>
          <w:i w:val="0"/>
          <w:kern w:val="0"/>
          <w:sz w:val="22"/>
          <w:szCs w:val="22"/>
        </w:rPr>
        <w:tab/>
      </w:r>
      <w:r>
        <w:t>The existing LTM CSI reporting mechanism may lead to large signalling overhead due to the frequent L1 reporting.</w:t>
      </w:r>
    </w:p>
    <w:p>
      <w:pPr>
        <w:pStyle w:val="15"/>
        <w:tabs>
          <w:tab w:val="left" w:pos="1540"/>
          <w:tab w:val="right" w:leader="dot" w:pos="9650"/>
        </w:tabs>
        <w:spacing w:before="120" w:after="120"/>
        <w:rPr>
          <w:rFonts w:eastAsia="宋体" w:asciiTheme="minorHAnsi" w:hAnsiTheme="minorHAnsi" w:cstheme="minorBidi"/>
          <w:b w:val="0"/>
          <w:i w:val="0"/>
          <w:kern w:val="0"/>
          <w:sz w:val="22"/>
          <w:szCs w:val="22"/>
        </w:rPr>
      </w:pPr>
      <w:r>
        <w:rPr>
          <w:color w:val="000000"/>
        </w:rPr>
        <w:t>Observation 2:</w:t>
      </w:r>
      <w:r>
        <w:rPr>
          <w:rFonts w:eastAsia="宋体" w:asciiTheme="minorHAnsi" w:hAnsiTheme="minorHAnsi" w:cstheme="minorBidi"/>
          <w:b w:val="0"/>
          <w:i w:val="0"/>
          <w:kern w:val="0"/>
          <w:sz w:val="22"/>
          <w:szCs w:val="22"/>
        </w:rPr>
        <w:tab/>
      </w:r>
      <w:r>
        <w:t>Single L1 measurement result is lack of robustness due to the fast-fading characteristics of radio channel. Only relying on single L1 measurement to trigger LTM execution may cause frequent cell switch or ping-pong handover.</w:t>
      </w:r>
    </w:p>
    <w:p>
      <w:pPr>
        <w:pStyle w:val="15"/>
        <w:tabs>
          <w:tab w:val="left" w:pos="1540"/>
          <w:tab w:val="right" w:leader="dot" w:pos="9650"/>
        </w:tabs>
        <w:spacing w:before="120" w:after="120"/>
        <w:rPr>
          <w:rFonts w:eastAsia="宋体" w:asciiTheme="minorHAnsi" w:hAnsiTheme="minorHAnsi" w:cstheme="minorBidi"/>
          <w:b w:val="0"/>
          <w:i w:val="0"/>
          <w:kern w:val="0"/>
          <w:sz w:val="22"/>
          <w:szCs w:val="22"/>
        </w:rPr>
      </w:pPr>
      <w:r>
        <w:rPr>
          <w:color w:val="000000"/>
        </w:rPr>
        <w:t>Observation 3:</w:t>
      </w:r>
      <w:r>
        <w:rPr>
          <w:rFonts w:eastAsia="宋体" w:asciiTheme="minorHAnsi" w:hAnsiTheme="minorHAnsi" w:cstheme="minorBidi"/>
          <w:b w:val="0"/>
          <w:i w:val="0"/>
          <w:kern w:val="0"/>
          <w:sz w:val="22"/>
          <w:szCs w:val="22"/>
        </w:rPr>
        <w:tab/>
      </w:r>
      <w:r>
        <w:t>For L3 RRM measurement events, the cell-level L3 measurement result is used for the event evaluation, which is derived from the beam-level L3 measurement result of the best beam or consolidated from several beam-level L3 measurement results above an absolute threshold.</w:t>
      </w:r>
    </w:p>
    <w:p>
      <w:pPr>
        <w:pStyle w:val="15"/>
        <w:tabs>
          <w:tab w:val="left" w:pos="1540"/>
          <w:tab w:val="right" w:leader="dot" w:pos="9650"/>
        </w:tabs>
        <w:spacing w:before="120" w:after="120"/>
        <w:rPr>
          <w:rFonts w:eastAsia="宋体" w:asciiTheme="minorHAnsi" w:hAnsiTheme="minorHAnsi" w:cstheme="minorBidi"/>
          <w:b w:val="0"/>
          <w:i w:val="0"/>
          <w:kern w:val="0"/>
          <w:sz w:val="22"/>
          <w:szCs w:val="22"/>
        </w:rPr>
      </w:pPr>
      <w:r>
        <w:rPr>
          <w:color w:val="000000"/>
        </w:rPr>
        <w:t>Observation 4:</w:t>
      </w:r>
      <w:r>
        <w:rPr>
          <w:rFonts w:eastAsia="宋体" w:asciiTheme="minorHAnsi" w:hAnsiTheme="minorHAnsi" w:cstheme="minorBidi"/>
          <w:b w:val="0"/>
          <w:i w:val="0"/>
          <w:kern w:val="0"/>
          <w:sz w:val="22"/>
          <w:szCs w:val="22"/>
        </w:rPr>
        <w:tab/>
      </w:r>
      <w:r>
        <w:t>Currently, the UE’s physical layer cannot maintain a counter or a timer to record the number of times that the entering condition is met non-consecutively.</w:t>
      </w:r>
    </w:p>
    <w:p>
      <w:pPr>
        <w:pStyle w:val="15"/>
        <w:tabs>
          <w:tab w:val="left" w:pos="1540"/>
          <w:tab w:val="right" w:leader="dot" w:pos="9650"/>
        </w:tabs>
        <w:spacing w:before="120" w:after="120"/>
        <w:rPr>
          <w:rFonts w:eastAsia="宋体" w:asciiTheme="minorHAnsi" w:hAnsiTheme="minorHAnsi" w:cstheme="minorBidi"/>
          <w:b w:val="0"/>
          <w:i w:val="0"/>
          <w:kern w:val="0"/>
          <w:sz w:val="22"/>
          <w:szCs w:val="22"/>
        </w:rPr>
      </w:pPr>
      <w:r>
        <w:rPr>
          <w:color w:val="000000"/>
        </w:rPr>
        <w:t>Observation 5:</w:t>
      </w:r>
      <w:r>
        <w:rPr>
          <w:rFonts w:eastAsia="宋体" w:asciiTheme="minorHAnsi" w:hAnsiTheme="minorHAnsi" w:cstheme="minorBidi"/>
          <w:b w:val="0"/>
          <w:i w:val="0"/>
          <w:kern w:val="0"/>
          <w:sz w:val="22"/>
          <w:szCs w:val="22"/>
        </w:rPr>
        <w:tab/>
      </w:r>
      <w:r>
        <w:t>Considering that the MAC CE can flexibly include L1 measurement results for multiple and variable candidate cells/beams, it’s more efficient than UCI from the perspective of signaling and UL resources usage.</w:t>
      </w:r>
    </w:p>
    <w:p>
      <w:pPr>
        <w:spacing w:before="120" w:after="120"/>
      </w:pPr>
      <w:r>
        <w:fldChar w:fldCharType="end"/>
      </w:r>
    </w:p>
    <w:p>
      <w:pPr>
        <w:pStyle w:val="15"/>
        <w:tabs>
          <w:tab w:val="left" w:pos="1320"/>
          <w:tab w:val="right" w:leader="dot" w:pos="9650"/>
        </w:tabs>
        <w:spacing w:before="120" w:after="120"/>
        <w:rPr>
          <w:rFonts w:eastAsia="宋体" w:asciiTheme="minorHAnsi" w:hAnsiTheme="minorHAnsi" w:cstheme="minorBidi"/>
          <w:b w:val="0"/>
          <w:i w:val="0"/>
          <w:kern w:val="0"/>
          <w:sz w:val="22"/>
          <w:szCs w:val="22"/>
        </w:rPr>
      </w:pPr>
      <w:r>
        <w:rPr>
          <w:i w:val="0"/>
        </w:rPr>
        <w:fldChar w:fldCharType="begin"/>
      </w:r>
      <w:r>
        <w:rPr>
          <w:i w:val="0"/>
        </w:rPr>
        <w:instrText xml:space="preserve"> TOC \n \t "!ZTE-Proposal-2021 + </w:instrText>
      </w:r>
      <w:r>
        <w:rPr>
          <w:rFonts w:hint="eastAsia" w:ascii="宋体" w:hAnsi="宋体" w:eastAsia="宋体" w:cs="宋体"/>
          <w:i w:val="0"/>
        </w:rPr>
        <w:instrText xml:space="preserve">段前</w:instrText>
      </w:r>
      <w:r>
        <w:rPr>
          <w:i w:val="0"/>
        </w:rPr>
        <w:instrText xml:space="preserve">: 0.5 </w:instrText>
      </w:r>
      <w:r>
        <w:rPr>
          <w:rFonts w:hint="eastAsia" w:ascii="宋体" w:hAnsi="宋体" w:eastAsia="宋体" w:cs="宋体"/>
          <w:i w:val="0"/>
        </w:rPr>
        <w:instrText xml:space="preserve">行</w:instrText>
      </w:r>
      <w:r>
        <w:rPr>
          <w:i w:val="0"/>
        </w:rPr>
        <w:instrText xml:space="preserve"> </w:instrText>
      </w:r>
      <w:r>
        <w:rPr>
          <w:rFonts w:hint="eastAsia" w:ascii="宋体" w:hAnsi="宋体" w:eastAsia="宋体" w:cs="宋体"/>
          <w:i w:val="0"/>
        </w:rPr>
        <w:instrText xml:space="preserve">段后</w:instrText>
      </w:r>
      <w:r>
        <w:rPr>
          <w:i w:val="0"/>
        </w:rPr>
        <w:instrText xml:space="preserve">: 0.5 </w:instrText>
      </w:r>
      <w:r>
        <w:rPr>
          <w:rFonts w:hint="eastAsia" w:ascii="宋体" w:hAnsi="宋体" w:eastAsia="宋体" w:cs="宋体"/>
          <w:i w:val="0"/>
        </w:rPr>
        <w:instrText xml:space="preserve">行</w:instrText>
      </w:r>
      <w:r>
        <w:rPr>
          <w:i w:val="0"/>
        </w:rPr>
        <w:instrText xml:space="preserve">,1,sub-proposal,2,3rd level proposal,3" </w:instrText>
      </w:r>
      <w:r>
        <w:rPr>
          <w:i w:val="0"/>
        </w:rPr>
        <w:fldChar w:fldCharType="separate"/>
      </w:r>
      <w:r>
        <w:rPr>
          <w:i w:val="0"/>
          <w:color w:val="000000"/>
        </w:rPr>
        <w:t>Proposal 1:</w:t>
      </w:r>
      <w:r>
        <w:rPr>
          <w:rFonts w:eastAsia="宋体" w:asciiTheme="minorHAnsi" w:hAnsiTheme="minorHAnsi" w:cstheme="minorBidi"/>
          <w:b w:val="0"/>
          <w:i w:val="0"/>
          <w:kern w:val="0"/>
          <w:sz w:val="22"/>
          <w:szCs w:val="22"/>
        </w:rPr>
        <w:tab/>
      </w:r>
      <w:r>
        <w:rPr>
          <w:i w:val="0"/>
        </w:rPr>
        <w:t>RAN2 to discuss and decide the general framework for the event-triggered L1 measurement reporting, e.g. the definition of event type, the triggering mechanism. RAN2 to provide inputs to RAN1 at Q3/2024.</w:t>
      </w:r>
    </w:p>
    <w:p>
      <w:pPr>
        <w:pStyle w:val="15"/>
        <w:tabs>
          <w:tab w:val="left" w:pos="1320"/>
          <w:tab w:val="right" w:leader="dot" w:pos="9650"/>
        </w:tabs>
        <w:spacing w:before="120" w:after="120"/>
        <w:rPr>
          <w:rFonts w:eastAsia="宋体" w:asciiTheme="minorHAnsi" w:hAnsiTheme="minorHAnsi" w:cstheme="minorBidi"/>
          <w:b w:val="0"/>
          <w:i w:val="0"/>
          <w:kern w:val="0"/>
          <w:sz w:val="22"/>
          <w:szCs w:val="22"/>
        </w:rPr>
      </w:pPr>
      <w:r>
        <w:rPr>
          <w:i w:val="0"/>
          <w:color w:val="000000"/>
        </w:rPr>
        <w:t>Proposal 2:</w:t>
      </w:r>
      <w:r>
        <w:rPr>
          <w:rFonts w:eastAsia="宋体" w:asciiTheme="minorHAnsi" w:hAnsiTheme="minorHAnsi" w:cstheme="minorBidi"/>
          <w:b w:val="0"/>
          <w:i w:val="0"/>
          <w:kern w:val="0"/>
          <w:sz w:val="22"/>
          <w:szCs w:val="22"/>
        </w:rPr>
        <w:tab/>
      </w:r>
      <w:r>
        <w:rPr>
          <w:i w:val="0"/>
        </w:rPr>
        <w:t>The L3 RRM-like measurement events are introduced for the event-triggered L1 measurement reporting, at least including:</w:t>
      </w:r>
    </w:p>
    <w:p>
      <w:pPr>
        <w:pStyle w:val="19"/>
        <w:tabs>
          <w:tab w:val="left" w:pos="880"/>
          <w:tab w:val="right" w:leader="dot" w:pos="9650"/>
        </w:tabs>
        <w:spacing w:before="120" w:after="120"/>
        <w:ind w:left="400"/>
        <w:rPr>
          <w:rFonts w:eastAsia="宋体" w:asciiTheme="minorHAnsi" w:hAnsiTheme="minorHAnsi" w:cstheme="minorBidi"/>
          <w:b w:val="0"/>
          <w:i w:val="0"/>
          <w:kern w:val="0"/>
          <w:sz w:val="22"/>
          <w:szCs w:val="22"/>
        </w:rPr>
      </w:pPr>
      <w:r>
        <w:rPr>
          <w:rFonts w:ascii="Arial" w:hAnsi="Arial" w:cs="Arial"/>
          <w:b w:val="0"/>
          <w:i w:val="0"/>
        </w:rPr>
        <w:t>•</w:t>
      </w:r>
      <w:r>
        <w:rPr>
          <w:rFonts w:eastAsia="宋体" w:asciiTheme="minorHAnsi" w:hAnsiTheme="minorHAnsi" w:cstheme="minorBidi"/>
          <w:b w:val="0"/>
          <w:i w:val="0"/>
          <w:kern w:val="0"/>
          <w:sz w:val="22"/>
          <w:szCs w:val="22"/>
        </w:rPr>
        <w:tab/>
      </w:r>
      <w:r>
        <w:rPr>
          <w:i w:val="0"/>
        </w:rPr>
        <w:t>A3-like L1 event: the L1 measurement result of candidate becomes offset better than serving;</w:t>
      </w:r>
    </w:p>
    <w:p>
      <w:pPr>
        <w:pStyle w:val="19"/>
        <w:tabs>
          <w:tab w:val="left" w:pos="880"/>
          <w:tab w:val="right" w:leader="dot" w:pos="9650"/>
        </w:tabs>
        <w:spacing w:before="120" w:after="120"/>
        <w:ind w:left="400"/>
        <w:rPr>
          <w:rFonts w:eastAsia="宋体" w:asciiTheme="minorHAnsi" w:hAnsiTheme="minorHAnsi" w:cstheme="minorBidi"/>
          <w:b w:val="0"/>
          <w:i w:val="0"/>
          <w:kern w:val="0"/>
          <w:sz w:val="22"/>
          <w:szCs w:val="22"/>
        </w:rPr>
      </w:pPr>
      <w:r>
        <w:rPr>
          <w:rFonts w:ascii="Arial" w:hAnsi="Arial" w:cs="Arial"/>
          <w:b w:val="0"/>
          <w:i w:val="0"/>
        </w:rPr>
        <w:t>•</w:t>
      </w:r>
      <w:r>
        <w:rPr>
          <w:rFonts w:eastAsia="宋体" w:asciiTheme="minorHAnsi" w:hAnsiTheme="minorHAnsi" w:cstheme="minorBidi"/>
          <w:b w:val="0"/>
          <w:i w:val="0"/>
          <w:kern w:val="0"/>
          <w:sz w:val="22"/>
          <w:szCs w:val="22"/>
        </w:rPr>
        <w:tab/>
      </w:r>
      <w:r>
        <w:rPr>
          <w:i w:val="0"/>
        </w:rPr>
        <w:t>A4-like L1 event: the L1 measurement result of candidate becomes better than a threshold;</w:t>
      </w:r>
    </w:p>
    <w:p>
      <w:pPr>
        <w:pStyle w:val="19"/>
        <w:tabs>
          <w:tab w:val="left" w:pos="880"/>
          <w:tab w:val="right" w:leader="dot" w:pos="9650"/>
        </w:tabs>
        <w:spacing w:before="120" w:after="120"/>
        <w:ind w:left="400"/>
        <w:rPr>
          <w:rFonts w:eastAsia="宋体" w:asciiTheme="minorHAnsi" w:hAnsiTheme="minorHAnsi" w:cstheme="minorBidi"/>
          <w:b w:val="0"/>
          <w:i w:val="0"/>
          <w:kern w:val="0"/>
          <w:sz w:val="22"/>
          <w:szCs w:val="22"/>
        </w:rPr>
      </w:pPr>
      <w:r>
        <w:rPr>
          <w:rFonts w:ascii="Arial" w:hAnsi="Arial" w:cs="Arial"/>
          <w:b w:val="0"/>
          <w:i w:val="0"/>
        </w:rPr>
        <w:t>•</w:t>
      </w:r>
      <w:r>
        <w:rPr>
          <w:rFonts w:eastAsia="宋体" w:asciiTheme="minorHAnsi" w:hAnsiTheme="minorHAnsi" w:cstheme="minorBidi"/>
          <w:b w:val="0"/>
          <w:i w:val="0"/>
          <w:kern w:val="0"/>
          <w:sz w:val="22"/>
          <w:szCs w:val="22"/>
        </w:rPr>
        <w:tab/>
      </w:r>
      <w:r>
        <w:rPr>
          <w:i w:val="0"/>
        </w:rPr>
        <w:t>A5-like L1 event: the L1 measurement result of serving becomes worse than threshold1 AND the L1 measurement result of candidate becomes better than threshold2.</w:t>
      </w:r>
    </w:p>
    <w:p>
      <w:pPr>
        <w:pStyle w:val="15"/>
        <w:tabs>
          <w:tab w:val="left" w:pos="1320"/>
          <w:tab w:val="right" w:leader="dot" w:pos="9650"/>
        </w:tabs>
        <w:spacing w:before="120" w:after="120"/>
        <w:rPr>
          <w:rFonts w:eastAsia="宋体" w:asciiTheme="minorHAnsi" w:hAnsiTheme="minorHAnsi" w:cstheme="minorBidi"/>
          <w:b w:val="0"/>
          <w:i w:val="0"/>
          <w:kern w:val="0"/>
          <w:sz w:val="22"/>
          <w:szCs w:val="22"/>
        </w:rPr>
      </w:pPr>
      <w:r>
        <w:rPr>
          <w:i w:val="0"/>
          <w:color w:val="000000"/>
        </w:rPr>
        <w:t>Proposal 3:</w:t>
      </w:r>
      <w:r>
        <w:rPr>
          <w:rFonts w:eastAsia="宋体" w:asciiTheme="minorHAnsi" w:hAnsiTheme="minorHAnsi" w:cstheme="minorBidi"/>
          <w:b w:val="0"/>
          <w:i w:val="0"/>
          <w:kern w:val="0"/>
          <w:sz w:val="22"/>
          <w:szCs w:val="22"/>
        </w:rPr>
        <w:tab/>
      </w:r>
      <w:r>
        <w:rPr>
          <w:i w:val="0"/>
        </w:rPr>
        <w:t>For the input of the L1 event evaluation, RAN2 to consider both beam-level measurement result and cell-level measurement result (e.g. based on the consolidation of multiple beams of a cell).</w:t>
      </w:r>
    </w:p>
    <w:p>
      <w:pPr>
        <w:pStyle w:val="15"/>
        <w:tabs>
          <w:tab w:val="left" w:pos="1320"/>
          <w:tab w:val="right" w:leader="dot" w:pos="9650"/>
        </w:tabs>
        <w:spacing w:before="120" w:after="120"/>
        <w:rPr>
          <w:rFonts w:eastAsia="宋体" w:asciiTheme="minorHAnsi" w:hAnsiTheme="minorHAnsi" w:cstheme="minorBidi"/>
          <w:b w:val="0"/>
          <w:i w:val="0"/>
          <w:kern w:val="0"/>
          <w:sz w:val="22"/>
          <w:szCs w:val="22"/>
        </w:rPr>
      </w:pPr>
      <w:r>
        <w:rPr>
          <w:i w:val="0"/>
          <w:color w:val="000000"/>
        </w:rPr>
        <w:t>Proposal 4:</w:t>
      </w:r>
      <w:r>
        <w:rPr>
          <w:rFonts w:eastAsia="宋体" w:asciiTheme="minorHAnsi" w:hAnsiTheme="minorHAnsi" w:cstheme="minorBidi"/>
          <w:b w:val="0"/>
          <w:i w:val="0"/>
          <w:kern w:val="0"/>
          <w:sz w:val="22"/>
          <w:szCs w:val="22"/>
        </w:rPr>
        <w:tab/>
      </w:r>
      <w:r>
        <w:rPr>
          <w:i w:val="0"/>
        </w:rPr>
        <w:t>For the event evaluation based on beam-level measurement result, RAN2 to discuss how to understand the beam of candidate/serving cell and whether to reset the event evaluation for a cell if the best beam of the cell is changed during the event evaluation.</w:t>
      </w:r>
    </w:p>
    <w:p>
      <w:pPr>
        <w:pStyle w:val="15"/>
        <w:tabs>
          <w:tab w:val="left" w:pos="1320"/>
          <w:tab w:val="right" w:leader="dot" w:pos="9650"/>
        </w:tabs>
        <w:spacing w:before="120" w:after="120"/>
        <w:rPr>
          <w:rFonts w:eastAsia="宋体" w:asciiTheme="minorHAnsi" w:hAnsiTheme="minorHAnsi" w:cstheme="minorBidi"/>
          <w:b w:val="0"/>
          <w:i w:val="0"/>
          <w:kern w:val="0"/>
          <w:sz w:val="22"/>
          <w:szCs w:val="22"/>
        </w:rPr>
      </w:pPr>
      <w:r>
        <w:rPr>
          <w:i w:val="0"/>
          <w:color w:val="000000"/>
        </w:rPr>
        <w:t>Proposal 5:</w:t>
      </w:r>
      <w:r>
        <w:rPr>
          <w:rFonts w:eastAsia="宋体" w:asciiTheme="minorHAnsi" w:hAnsiTheme="minorHAnsi" w:cstheme="minorBidi"/>
          <w:b w:val="0"/>
          <w:i w:val="0"/>
          <w:kern w:val="0"/>
          <w:sz w:val="22"/>
          <w:szCs w:val="22"/>
        </w:rPr>
        <w:tab/>
      </w:r>
      <w:r>
        <w:rPr>
          <w:i w:val="0"/>
        </w:rPr>
        <w:t>RAN2 to consider some criteria to improve the robustness of event-triggered L1 measurement reporting, e.g. including:</w:t>
      </w:r>
    </w:p>
    <w:p>
      <w:pPr>
        <w:pStyle w:val="19"/>
        <w:tabs>
          <w:tab w:val="left" w:pos="880"/>
          <w:tab w:val="right" w:leader="dot" w:pos="9650"/>
        </w:tabs>
        <w:spacing w:before="120" w:after="120"/>
        <w:ind w:left="400"/>
        <w:rPr>
          <w:rFonts w:eastAsia="宋体" w:asciiTheme="minorHAnsi" w:hAnsiTheme="minorHAnsi" w:cstheme="minorBidi"/>
          <w:b w:val="0"/>
          <w:i w:val="0"/>
          <w:kern w:val="0"/>
          <w:sz w:val="22"/>
          <w:szCs w:val="22"/>
        </w:rPr>
      </w:pPr>
      <w:r>
        <w:rPr>
          <w:rFonts w:ascii="Arial" w:hAnsi="Arial" w:cs="Arial"/>
          <w:b w:val="0"/>
          <w:i w:val="0"/>
        </w:rPr>
        <w:t>•</w:t>
      </w:r>
      <w:r>
        <w:rPr>
          <w:rFonts w:eastAsia="宋体" w:asciiTheme="minorHAnsi" w:hAnsiTheme="minorHAnsi" w:cstheme="minorBidi"/>
          <w:b w:val="0"/>
          <w:i w:val="0"/>
          <w:kern w:val="0"/>
          <w:sz w:val="22"/>
          <w:szCs w:val="22"/>
        </w:rPr>
        <w:tab/>
      </w:r>
      <w:r>
        <w:rPr>
          <w:i w:val="0"/>
        </w:rPr>
        <w:t>Option 1: UE triggers L1 event reporting when the entering condition is met consecutively N times (assuming the UE performs L1 measurements periodically, and the entering condition can be evaluated periodically);</w:t>
      </w:r>
    </w:p>
    <w:p>
      <w:pPr>
        <w:pStyle w:val="19"/>
        <w:tabs>
          <w:tab w:val="left" w:pos="880"/>
          <w:tab w:val="right" w:leader="dot" w:pos="9650"/>
        </w:tabs>
        <w:spacing w:before="120" w:after="120"/>
        <w:ind w:left="400"/>
        <w:rPr>
          <w:rFonts w:eastAsia="宋体" w:asciiTheme="minorHAnsi" w:hAnsiTheme="minorHAnsi" w:cstheme="minorBidi"/>
          <w:b w:val="0"/>
          <w:i w:val="0"/>
          <w:kern w:val="0"/>
          <w:sz w:val="22"/>
          <w:szCs w:val="22"/>
        </w:rPr>
      </w:pPr>
      <w:r>
        <w:rPr>
          <w:rFonts w:ascii="Arial" w:hAnsi="Arial" w:cs="Arial"/>
          <w:b w:val="0"/>
          <w:i w:val="0"/>
        </w:rPr>
        <w:t>•</w:t>
      </w:r>
      <w:r>
        <w:rPr>
          <w:rFonts w:eastAsia="宋体" w:asciiTheme="minorHAnsi" w:hAnsiTheme="minorHAnsi" w:cstheme="minorBidi"/>
          <w:b w:val="0"/>
          <w:i w:val="0"/>
          <w:kern w:val="0"/>
          <w:sz w:val="22"/>
          <w:szCs w:val="22"/>
        </w:rPr>
        <w:tab/>
      </w:r>
      <w:r>
        <w:rPr>
          <w:i w:val="0"/>
        </w:rPr>
        <w:t>Option 2: UE triggers L1 event reporting when the entering condition is met N times within a period of time;</w:t>
      </w:r>
    </w:p>
    <w:p>
      <w:pPr>
        <w:pStyle w:val="19"/>
        <w:tabs>
          <w:tab w:val="left" w:pos="880"/>
          <w:tab w:val="right" w:leader="dot" w:pos="9650"/>
        </w:tabs>
        <w:spacing w:before="120" w:after="120"/>
        <w:ind w:left="400"/>
        <w:rPr>
          <w:rFonts w:eastAsia="宋体" w:asciiTheme="minorHAnsi" w:hAnsiTheme="minorHAnsi" w:cstheme="minorBidi"/>
          <w:b w:val="0"/>
          <w:i w:val="0"/>
          <w:kern w:val="0"/>
          <w:sz w:val="22"/>
          <w:szCs w:val="22"/>
        </w:rPr>
      </w:pPr>
      <w:r>
        <w:rPr>
          <w:rFonts w:ascii="Arial" w:hAnsi="Arial" w:cs="Arial"/>
          <w:b w:val="0"/>
          <w:i w:val="0"/>
        </w:rPr>
        <w:t>•</w:t>
      </w:r>
      <w:r>
        <w:rPr>
          <w:rFonts w:eastAsia="宋体" w:asciiTheme="minorHAnsi" w:hAnsiTheme="minorHAnsi" w:cstheme="minorBidi"/>
          <w:b w:val="0"/>
          <w:i w:val="0"/>
          <w:kern w:val="0"/>
          <w:sz w:val="22"/>
          <w:szCs w:val="22"/>
        </w:rPr>
        <w:tab/>
      </w:r>
      <w:r>
        <w:rPr>
          <w:i w:val="0"/>
        </w:rPr>
        <w:t>Option 3: UE triggers L1 event reporting when the entering condition is continuously satisfied within a period of time (same as TTT).</w:t>
      </w:r>
    </w:p>
    <w:p>
      <w:pPr>
        <w:pStyle w:val="15"/>
        <w:tabs>
          <w:tab w:val="left" w:pos="1320"/>
          <w:tab w:val="right" w:leader="dot" w:pos="9650"/>
        </w:tabs>
        <w:spacing w:before="120" w:after="120"/>
        <w:rPr>
          <w:rFonts w:eastAsia="宋体" w:asciiTheme="minorHAnsi" w:hAnsiTheme="minorHAnsi" w:cstheme="minorBidi"/>
          <w:b w:val="0"/>
          <w:i w:val="0"/>
          <w:kern w:val="0"/>
          <w:sz w:val="22"/>
          <w:szCs w:val="22"/>
        </w:rPr>
      </w:pPr>
      <w:r>
        <w:rPr>
          <w:i w:val="0"/>
          <w:color w:val="000000"/>
        </w:rPr>
        <w:t>Proposal 6:</w:t>
      </w:r>
      <w:r>
        <w:rPr>
          <w:rFonts w:eastAsia="宋体" w:asciiTheme="minorHAnsi" w:hAnsiTheme="minorHAnsi" w:cstheme="minorBidi"/>
          <w:b w:val="0"/>
          <w:i w:val="0"/>
          <w:kern w:val="0"/>
          <w:sz w:val="22"/>
          <w:szCs w:val="22"/>
        </w:rPr>
        <w:tab/>
      </w:r>
      <w:r>
        <w:rPr>
          <w:i w:val="0"/>
        </w:rPr>
        <w:t>RAN2 assumes that the L1 event evaluation is performed in UE’s MAC layer, and inform RAN1 about the conclusion.</w:t>
      </w:r>
    </w:p>
    <w:p>
      <w:pPr>
        <w:pStyle w:val="15"/>
        <w:tabs>
          <w:tab w:val="left" w:pos="1320"/>
          <w:tab w:val="right" w:leader="dot" w:pos="9650"/>
        </w:tabs>
        <w:spacing w:before="120" w:after="120"/>
        <w:rPr>
          <w:rFonts w:eastAsia="宋体" w:asciiTheme="minorHAnsi" w:hAnsiTheme="minorHAnsi" w:cstheme="minorBidi"/>
          <w:b w:val="0"/>
          <w:i w:val="0"/>
          <w:kern w:val="0"/>
          <w:sz w:val="22"/>
          <w:szCs w:val="22"/>
        </w:rPr>
      </w:pPr>
      <w:r>
        <w:rPr>
          <w:i w:val="0"/>
          <w:color w:val="000000"/>
        </w:rPr>
        <w:t>Proposal 7:</w:t>
      </w:r>
      <w:r>
        <w:rPr>
          <w:rFonts w:eastAsia="宋体" w:asciiTheme="minorHAnsi" w:hAnsiTheme="minorHAnsi" w:cstheme="minorBidi"/>
          <w:b w:val="0"/>
          <w:i w:val="0"/>
          <w:kern w:val="0"/>
          <w:sz w:val="22"/>
          <w:szCs w:val="22"/>
        </w:rPr>
        <w:tab/>
      </w:r>
      <w:r>
        <w:rPr>
          <w:i w:val="0"/>
        </w:rPr>
        <w:t>RAN2 assumes that MAC CE is used to carry the L1 measurement report triggered by the event, and inform RAN1 about the conclusion.</w:t>
      </w:r>
    </w:p>
    <w:p>
      <w:pPr>
        <w:pStyle w:val="15"/>
        <w:tabs>
          <w:tab w:val="left" w:pos="1320"/>
          <w:tab w:val="right" w:leader="dot" w:pos="9650"/>
        </w:tabs>
        <w:spacing w:before="120" w:after="120"/>
        <w:rPr>
          <w:rFonts w:eastAsia="宋体" w:asciiTheme="minorHAnsi" w:hAnsiTheme="minorHAnsi" w:cstheme="minorBidi"/>
          <w:b w:val="0"/>
          <w:i w:val="0"/>
          <w:kern w:val="0"/>
          <w:sz w:val="22"/>
          <w:szCs w:val="22"/>
        </w:rPr>
      </w:pPr>
      <w:r>
        <w:rPr>
          <w:i w:val="0"/>
          <w:color w:val="000000"/>
        </w:rPr>
        <w:t>Proposal 8:</w:t>
      </w:r>
      <w:r>
        <w:rPr>
          <w:rFonts w:eastAsia="宋体" w:asciiTheme="minorHAnsi" w:hAnsiTheme="minorHAnsi" w:cstheme="minorBidi"/>
          <w:b w:val="0"/>
          <w:i w:val="0"/>
          <w:kern w:val="0"/>
          <w:sz w:val="22"/>
          <w:szCs w:val="22"/>
        </w:rPr>
        <w:tab/>
      </w:r>
      <w:r>
        <w:rPr>
          <w:i w:val="0"/>
        </w:rPr>
        <w:t>The content of the L1 measurement report triggered by the event can include at least the following information:</w:t>
      </w:r>
    </w:p>
    <w:p>
      <w:pPr>
        <w:pStyle w:val="11"/>
        <w:tabs>
          <w:tab w:val="left" w:pos="1320"/>
          <w:tab w:val="right" w:leader="dot" w:pos="9650"/>
        </w:tabs>
        <w:spacing w:before="120" w:after="120"/>
        <w:ind w:left="800"/>
        <w:rPr>
          <w:rFonts w:eastAsia="宋体" w:asciiTheme="minorHAnsi" w:hAnsiTheme="minorHAnsi" w:cstheme="minorBidi"/>
          <w:b w:val="0"/>
          <w:i w:val="0"/>
          <w:kern w:val="0"/>
          <w:sz w:val="22"/>
          <w:szCs w:val="22"/>
        </w:rPr>
      </w:pPr>
      <w:r>
        <w:rPr>
          <w:rFonts w:ascii="Arial" w:hAnsi="Arial" w:cs="Arial"/>
          <w:b w:val="0"/>
          <w:i w:val="0"/>
        </w:rPr>
        <w:t>-</w:t>
      </w:r>
      <w:r>
        <w:rPr>
          <w:rFonts w:eastAsia="宋体" w:asciiTheme="minorHAnsi" w:hAnsiTheme="minorHAnsi" w:cstheme="minorBidi"/>
          <w:b w:val="0"/>
          <w:i w:val="0"/>
          <w:kern w:val="0"/>
          <w:sz w:val="22"/>
          <w:szCs w:val="22"/>
        </w:rPr>
        <w:tab/>
      </w:r>
      <w:r>
        <w:rPr>
          <w:i w:val="0"/>
        </w:rPr>
        <w:t>Information for the triggered event;</w:t>
      </w:r>
    </w:p>
    <w:p>
      <w:pPr>
        <w:pStyle w:val="11"/>
        <w:tabs>
          <w:tab w:val="left" w:pos="1320"/>
          <w:tab w:val="right" w:leader="dot" w:pos="9650"/>
        </w:tabs>
        <w:spacing w:before="120" w:after="120"/>
        <w:ind w:left="800"/>
        <w:rPr>
          <w:rFonts w:eastAsia="宋体" w:asciiTheme="minorHAnsi" w:hAnsiTheme="minorHAnsi" w:cstheme="minorBidi"/>
          <w:b w:val="0"/>
          <w:i w:val="0"/>
          <w:kern w:val="0"/>
          <w:sz w:val="22"/>
          <w:szCs w:val="22"/>
        </w:rPr>
      </w:pPr>
      <w:r>
        <w:rPr>
          <w:rFonts w:ascii="Arial" w:hAnsi="Arial" w:cs="Arial"/>
          <w:b w:val="0"/>
          <w:i w:val="0"/>
        </w:rPr>
        <w:t>-</w:t>
      </w:r>
      <w:r>
        <w:rPr>
          <w:rFonts w:eastAsia="宋体" w:asciiTheme="minorHAnsi" w:hAnsiTheme="minorHAnsi" w:cstheme="minorBidi"/>
          <w:b w:val="0"/>
          <w:i w:val="0"/>
          <w:kern w:val="0"/>
          <w:sz w:val="22"/>
          <w:szCs w:val="22"/>
        </w:rPr>
        <w:tab/>
      </w:r>
      <w:r>
        <w:rPr>
          <w:i w:val="0"/>
        </w:rPr>
        <w:t>Beam-level measurement results for the triggered cell(s) and/or the serving cell;</w:t>
      </w:r>
    </w:p>
    <w:p>
      <w:pPr>
        <w:pStyle w:val="11"/>
        <w:tabs>
          <w:tab w:val="left" w:pos="1320"/>
          <w:tab w:val="right" w:leader="dot" w:pos="9650"/>
        </w:tabs>
        <w:spacing w:before="120" w:after="120"/>
        <w:ind w:left="800"/>
        <w:rPr>
          <w:rFonts w:eastAsia="宋体" w:asciiTheme="minorHAnsi" w:hAnsiTheme="minorHAnsi" w:cstheme="minorBidi"/>
          <w:b w:val="0"/>
          <w:i w:val="0"/>
          <w:kern w:val="0"/>
          <w:sz w:val="22"/>
          <w:szCs w:val="22"/>
        </w:rPr>
      </w:pPr>
      <w:r>
        <w:rPr>
          <w:rFonts w:ascii="Arial" w:hAnsi="Arial" w:cs="Arial"/>
          <w:b w:val="0"/>
          <w:i w:val="0"/>
        </w:rPr>
        <w:t>-</w:t>
      </w:r>
      <w:r>
        <w:rPr>
          <w:rFonts w:eastAsia="宋体" w:asciiTheme="minorHAnsi" w:hAnsiTheme="minorHAnsi" w:cstheme="minorBidi"/>
          <w:b w:val="0"/>
          <w:i w:val="0"/>
          <w:kern w:val="0"/>
          <w:sz w:val="22"/>
          <w:szCs w:val="22"/>
        </w:rPr>
        <w:tab/>
      </w:r>
      <w:r>
        <w:rPr>
          <w:i w:val="0"/>
        </w:rPr>
        <w:t>Cell-level measurement results for the triggered cell(s) and/or the serving cell.</w:t>
      </w:r>
    </w:p>
    <w:p>
      <w:pPr>
        <w:spacing w:before="120" w:after="120"/>
      </w:pPr>
      <w:r>
        <w:fldChar w:fldCharType="end"/>
      </w:r>
    </w:p>
    <w:p>
      <w:pPr>
        <w:pStyle w:val="2"/>
        <w:spacing w:before="120" w:after="120"/>
        <w:rPr>
          <w:rFonts w:eastAsia="宋体"/>
        </w:rPr>
      </w:pPr>
      <w:r>
        <w:rPr>
          <w:rFonts w:hint="eastAsia" w:eastAsia="宋体"/>
        </w:rPr>
        <w:t>Reference</w:t>
      </w:r>
      <w:r>
        <w:rPr>
          <w:rFonts w:eastAsia="宋体"/>
        </w:rPr>
        <w:t>s</w:t>
      </w:r>
    </w:p>
    <w:p>
      <w:pPr>
        <w:pStyle w:val="34"/>
        <w:spacing w:before="120" w:after="120"/>
        <w:ind w:left="363" w:hanging="363"/>
        <w:rPr>
          <w:szCs w:val="20"/>
        </w:rPr>
      </w:pPr>
      <w:r>
        <w:rPr>
          <w:rFonts w:hint="eastAsia"/>
          <w:szCs w:val="20"/>
        </w:rPr>
        <w:t>R2-2403731</w:t>
      </w:r>
      <w:r>
        <w:rPr>
          <w:rFonts w:hint="eastAsia" w:eastAsia="宋体"/>
          <w:szCs w:val="20"/>
        </w:rPr>
        <w:t xml:space="preserve">  Report from session on V2X/SL, R19 NES and MOB  Vice Chairman (Samsung)</w:t>
      </w:r>
    </w:p>
    <w:p>
      <w:pPr>
        <w:pStyle w:val="34"/>
        <w:numPr>
          <w:ilvl w:val="0"/>
          <w:numId w:val="0"/>
        </w:numPr>
        <w:spacing w:before="120" w:after="120"/>
        <w:ind w:left="360" w:hanging="360"/>
        <w:rPr>
          <w:szCs w:val="20"/>
        </w:rPr>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Microsoft YaHei UI">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32"/>
      <w:lvlText w:val="-"/>
      <w:lvlJc w:val="left"/>
      <w:pPr>
        <w:ind w:left="420" w:hanging="420"/>
      </w:pPr>
      <w:rPr>
        <w:rFonts w:hint="default" w:ascii="Arial" w:hAnsi="Arial" w:cs="Arial"/>
      </w:rPr>
    </w:lvl>
  </w:abstractNum>
  <w:abstractNum w:abstractNumId="1">
    <w:nsid w:val="15131DD5"/>
    <w:multiLevelType w:val="multilevel"/>
    <w:tmpl w:val="15131DD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3">
    <w:nsid w:val="3D3F4A84"/>
    <w:multiLevelType w:val="multilevel"/>
    <w:tmpl w:val="3D3F4A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508BE803"/>
    <w:multiLevelType w:val="singleLevel"/>
    <w:tmpl w:val="508BE803"/>
    <w:lvl w:ilvl="0" w:tentative="0">
      <w:start w:val="1"/>
      <w:numFmt w:val="bullet"/>
      <w:pStyle w:val="33"/>
      <w:lvlText w:val="-"/>
      <w:lvlJc w:val="left"/>
      <w:pPr>
        <w:ind w:left="420" w:hanging="420"/>
      </w:pPr>
      <w:rPr>
        <w:rFonts w:hint="default" w:ascii="Arial" w:hAnsi="Arial" w:cs="Arial"/>
      </w:rPr>
    </w:lvl>
  </w:abstractNum>
  <w:abstractNum w:abstractNumId="6">
    <w:nsid w:val="5D763755"/>
    <w:multiLevelType w:val="multilevel"/>
    <w:tmpl w:val="5D763755"/>
    <w:lvl w:ilvl="0" w:tentative="0">
      <w:start w:val="1"/>
      <w:numFmt w:val="decimal"/>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0110F9F"/>
    <w:multiLevelType w:val="multilevel"/>
    <w:tmpl w:val="70110F9F"/>
    <w:lvl w:ilvl="0" w:tentative="0">
      <w:start w:val="1"/>
      <w:numFmt w:val="decimal"/>
      <w:pStyle w:val="28"/>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8">
    <w:nsid w:val="7DC436CD"/>
    <w:multiLevelType w:val="singleLevel"/>
    <w:tmpl w:val="7DC436CD"/>
    <w:lvl w:ilvl="0" w:tentative="0">
      <w:start w:val="1"/>
      <w:numFmt w:val="bullet"/>
      <w:lvlText w:val="•"/>
      <w:lvlJc w:val="left"/>
      <w:pPr>
        <w:tabs>
          <w:tab w:val="left" w:pos="420"/>
        </w:tabs>
        <w:ind w:left="420" w:hanging="378"/>
      </w:pPr>
      <w:rPr>
        <w:rFonts w:hint="default" w:ascii="Arial" w:hAnsi="Arial" w:cs="Arial"/>
      </w:rPr>
    </w:lvl>
  </w:abstractNum>
  <w:num w:numId="1">
    <w:abstractNumId w:val="4"/>
  </w:num>
  <w:num w:numId="2">
    <w:abstractNumId w:val="7"/>
  </w:num>
  <w:num w:numId="3">
    <w:abstractNumId w:val="0"/>
  </w:num>
  <w:num w:numId="4">
    <w:abstractNumId w:val="5"/>
  </w:num>
  <w:num w:numId="5">
    <w:abstractNumId w:val="2"/>
  </w:num>
  <w:num w:numId="6">
    <w:abstractNumId w:val="1"/>
  </w:num>
  <w:num w:numId="7">
    <w:abstractNumId w:val="6"/>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1428"/>
    <w:rsid w:val="000176EA"/>
    <w:rsid w:val="00044B96"/>
    <w:rsid w:val="00045A47"/>
    <w:rsid w:val="00053593"/>
    <w:rsid w:val="00074632"/>
    <w:rsid w:val="00096547"/>
    <w:rsid w:val="000B1599"/>
    <w:rsid w:val="000D65FC"/>
    <w:rsid w:val="000D719D"/>
    <w:rsid w:val="000E14ED"/>
    <w:rsid w:val="000E21AA"/>
    <w:rsid w:val="000E76EC"/>
    <w:rsid w:val="000F52D5"/>
    <w:rsid w:val="0011233A"/>
    <w:rsid w:val="00125CA3"/>
    <w:rsid w:val="001308BC"/>
    <w:rsid w:val="00157761"/>
    <w:rsid w:val="00164872"/>
    <w:rsid w:val="00172A27"/>
    <w:rsid w:val="001768FE"/>
    <w:rsid w:val="00193046"/>
    <w:rsid w:val="001A2BD2"/>
    <w:rsid w:val="001A2BEB"/>
    <w:rsid w:val="001B502E"/>
    <w:rsid w:val="001D6B12"/>
    <w:rsid w:val="002035D4"/>
    <w:rsid w:val="00226843"/>
    <w:rsid w:val="002376AE"/>
    <w:rsid w:val="00244AF8"/>
    <w:rsid w:val="00261A79"/>
    <w:rsid w:val="002729B9"/>
    <w:rsid w:val="00273B16"/>
    <w:rsid w:val="00293093"/>
    <w:rsid w:val="002B42EA"/>
    <w:rsid w:val="002C0735"/>
    <w:rsid w:val="002E478D"/>
    <w:rsid w:val="00301063"/>
    <w:rsid w:val="00301CD7"/>
    <w:rsid w:val="0031357A"/>
    <w:rsid w:val="003161BA"/>
    <w:rsid w:val="00324214"/>
    <w:rsid w:val="003522A9"/>
    <w:rsid w:val="00352DD8"/>
    <w:rsid w:val="00375B14"/>
    <w:rsid w:val="003767C0"/>
    <w:rsid w:val="00390CBE"/>
    <w:rsid w:val="00395F21"/>
    <w:rsid w:val="003C0B54"/>
    <w:rsid w:val="003C47CC"/>
    <w:rsid w:val="003D17AE"/>
    <w:rsid w:val="003E146E"/>
    <w:rsid w:val="003F2455"/>
    <w:rsid w:val="00422D64"/>
    <w:rsid w:val="00441300"/>
    <w:rsid w:val="00446860"/>
    <w:rsid w:val="00447E2E"/>
    <w:rsid w:val="0045176E"/>
    <w:rsid w:val="00473529"/>
    <w:rsid w:val="0047493C"/>
    <w:rsid w:val="00475B67"/>
    <w:rsid w:val="00496F59"/>
    <w:rsid w:val="004A58EF"/>
    <w:rsid w:val="004A741E"/>
    <w:rsid w:val="004B2991"/>
    <w:rsid w:val="004D0887"/>
    <w:rsid w:val="004E5289"/>
    <w:rsid w:val="004E754D"/>
    <w:rsid w:val="0050382F"/>
    <w:rsid w:val="00525E65"/>
    <w:rsid w:val="005317CA"/>
    <w:rsid w:val="00534CF1"/>
    <w:rsid w:val="00572097"/>
    <w:rsid w:val="005849F1"/>
    <w:rsid w:val="00585114"/>
    <w:rsid w:val="00593144"/>
    <w:rsid w:val="0059672B"/>
    <w:rsid w:val="00596B58"/>
    <w:rsid w:val="005A20EC"/>
    <w:rsid w:val="005B065E"/>
    <w:rsid w:val="005B2DD2"/>
    <w:rsid w:val="005B6873"/>
    <w:rsid w:val="005B77CD"/>
    <w:rsid w:val="005C3D49"/>
    <w:rsid w:val="005D43CC"/>
    <w:rsid w:val="005E5B48"/>
    <w:rsid w:val="005F5F48"/>
    <w:rsid w:val="005F7B99"/>
    <w:rsid w:val="00611628"/>
    <w:rsid w:val="00630006"/>
    <w:rsid w:val="00632A2F"/>
    <w:rsid w:val="00636F43"/>
    <w:rsid w:val="00656A63"/>
    <w:rsid w:val="006807E6"/>
    <w:rsid w:val="006A036E"/>
    <w:rsid w:val="006A0B2B"/>
    <w:rsid w:val="006E7DBB"/>
    <w:rsid w:val="006F26CE"/>
    <w:rsid w:val="006F3323"/>
    <w:rsid w:val="006F4571"/>
    <w:rsid w:val="006F6FAC"/>
    <w:rsid w:val="006F75AB"/>
    <w:rsid w:val="00700478"/>
    <w:rsid w:val="00724E53"/>
    <w:rsid w:val="00740881"/>
    <w:rsid w:val="00740CCC"/>
    <w:rsid w:val="00741483"/>
    <w:rsid w:val="00777DAF"/>
    <w:rsid w:val="00796271"/>
    <w:rsid w:val="007A20E7"/>
    <w:rsid w:val="007B070D"/>
    <w:rsid w:val="007D731C"/>
    <w:rsid w:val="007E567A"/>
    <w:rsid w:val="007E64A4"/>
    <w:rsid w:val="007E7A15"/>
    <w:rsid w:val="0082091D"/>
    <w:rsid w:val="00820E09"/>
    <w:rsid w:val="00852DEE"/>
    <w:rsid w:val="00853063"/>
    <w:rsid w:val="00882B39"/>
    <w:rsid w:val="00885FE5"/>
    <w:rsid w:val="00890F3B"/>
    <w:rsid w:val="008B03C9"/>
    <w:rsid w:val="008B7619"/>
    <w:rsid w:val="008B7B21"/>
    <w:rsid w:val="008D236F"/>
    <w:rsid w:val="008E2B89"/>
    <w:rsid w:val="008F30BC"/>
    <w:rsid w:val="008F3CF6"/>
    <w:rsid w:val="00905CB1"/>
    <w:rsid w:val="00912575"/>
    <w:rsid w:val="009141DD"/>
    <w:rsid w:val="009401EC"/>
    <w:rsid w:val="00945B44"/>
    <w:rsid w:val="00954A8B"/>
    <w:rsid w:val="00957668"/>
    <w:rsid w:val="0096044C"/>
    <w:rsid w:val="00962ACE"/>
    <w:rsid w:val="009636F9"/>
    <w:rsid w:val="00977143"/>
    <w:rsid w:val="009A61F1"/>
    <w:rsid w:val="009B717C"/>
    <w:rsid w:val="009D3B70"/>
    <w:rsid w:val="009E250C"/>
    <w:rsid w:val="009F263F"/>
    <w:rsid w:val="009F756D"/>
    <w:rsid w:val="00A10BCB"/>
    <w:rsid w:val="00A36842"/>
    <w:rsid w:val="00A37B97"/>
    <w:rsid w:val="00A40102"/>
    <w:rsid w:val="00A50086"/>
    <w:rsid w:val="00A51AA5"/>
    <w:rsid w:val="00A566B3"/>
    <w:rsid w:val="00A57180"/>
    <w:rsid w:val="00A62C2C"/>
    <w:rsid w:val="00A6471B"/>
    <w:rsid w:val="00A9155C"/>
    <w:rsid w:val="00AA2E51"/>
    <w:rsid w:val="00AB675D"/>
    <w:rsid w:val="00AB7B1D"/>
    <w:rsid w:val="00AC2EAB"/>
    <w:rsid w:val="00AC4CB5"/>
    <w:rsid w:val="00AD1548"/>
    <w:rsid w:val="00AE235B"/>
    <w:rsid w:val="00AE7EDF"/>
    <w:rsid w:val="00B03CE5"/>
    <w:rsid w:val="00B1116A"/>
    <w:rsid w:val="00B2021B"/>
    <w:rsid w:val="00B23BAD"/>
    <w:rsid w:val="00B40CB3"/>
    <w:rsid w:val="00B428B5"/>
    <w:rsid w:val="00B53AA9"/>
    <w:rsid w:val="00B611BE"/>
    <w:rsid w:val="00B621C7"/>
    <w:rsid w:val="00B66323"/>
    <w:rsid w:val="00B66CB1"/>
    <w:rsid w:val="00B74AE0"/>
    <w:rsid w:val="00B817E6"/>
    <w:rsid w:val="00B902C2"/>
    <w:rsid w:val="00BB0B7F"/>
    <w:rsid w:val="00BB6518"/>
    <w:rsid w:val="00BC0828"/>
    <w:rsid w:val="00BC558D"/>
    <w:rsid w:val="00BD572A"/>
    <w:rsid w:val="00BE35EB"/>
    <w:rsid w:val="00C03C71"/>
    <w:rsid w:val="00C06690"/>
    <w:rsid w:val="00C12E82"/>
    <w:rsid w:val="00C20A42"/>
    <w:rsid w:val="00C20ECE"/>
    <w:rsid w:val="00C27559"/>
    <w:rsid w:val="00C31135"/>
    <w:rsid w:val="00C32D95"/>
    <w:rsid w:val="00C41F97"/>
    <w:rsid w:val="00C521AA"/>
    <w:rsid w:val="00C628B6"/>
    <w:rsid w:val="00C6294E"/>
    <w:rsid w:val="00C637A9"/>
    <w:rsid w:val="00C76452"/>
    <w:rsid w:val="00C76FA7"/>
    <w:rsid w:val="00C8440E"/>
    <w:rsid w:val="00C9056B"/>
    <w:rsid w:val="00C919B5"/>
    <w:rsid w:val="00C92B5F"/>
    <w:rsid w:val="00CB6631"/>
    <w:rsid w:val="00CC283C"/>
    <w:rsid w:val="00CE390F"/>
    <w:rsid w:val="00CE5620"/>
    <w:rsid w:val="00D00C8F"/>
    <w:rsid w:val="00D07997"/>
    <w:rsid w:val="00D1674B"/>
    <w:rsid w:val="00D20EC2"/>
    <w:rsid w:val="00D316E9"/>
    <w:rsid w:val="00D330AD"/>
    <w:rsid w:val="00D378DD"/>
    <w:rsid w:val="00D44606"/>
    <w:rsid w:val="00D47D66"/>
    <w:rsid w:val="00D90D16"/>
    <w:rsid w:val="00D91BA2"/>
    <w:rsid w:val="00DA6B6D"/>
    <w:rsid w:val="00DA7FC2"/>
    <w:rsid w:val="00DD5091"/>
    <w:rsid w:val="00DD7125"/>
    <w:rsid w:val="00DE59D4"/>
    <w:rsid w:val="00DE653F"/>
    <w:rsid w:val="00DE79EC"/>
    <w:rsid w:val="00DF0709"/>
    <w:rsid w:val="00DF75DB"/>
    <w:rsid w:val="00E35DE6"/>
    <w:rsid w:val="00E445B1"/>
    <w:rsid w:val="00E479BD"/>
    <w:rsid w:val="00E60274"/>
    <w:rsid w:val="00E73922"/>
    <w:rsid w:val="00E74F94"/>
    <w:rsid w:val="00E80F46"/>
    <w:rsid w:val="00EC5784"/>
    <w:rsid w:val="00EC5D9A"/>
    <w:rsid w:val="00ED0F2F"/>
    <w:rsid w:val="00ED3579"/>
    <w:rsid w:val="00EE5F9D"/>
    <w:rsid w:val="00F122D5"/>
    <w:rsid w:val="00F37B27"/>
    <w:rsid w:val="00F41E6E"/>
    <w:rsid w:val="00F446B5"/>
    <w:rsid w:val="00F509E9"/>
    <w:rsid w:val="00F65BA8"/>
    <w:rsid w:val="00F72905"/>
    <w:rsid w:val="00F91C57"/>
    <w:rsid w:val="00F94DCD"/>
    <w:rsid w:val="00FA1948"/>
    <w:rsid w:val="00FB127C"/>
    <w:rsid w:val="00FC6E1D"/>
    <w:rsid w:val="00FD05AB"/>
    <w:rsid w:val="00FD2707"/>
    <w:rsid w:val="00FD2DE4"/>
    <w:rsid w:val="00FE3A28"/>
    <w:rsid w:val="00FF38B8"/>
    <w:rsid w:val="00FF6E47"/>
    <w:rsid w:val="00FF7F3D"/>
    <w:rsid w:val="01764F01"/>
    <w:rsid w:val="024D6B6A"/>
    <w:rsid w:val="029B04E7"/>
    <w:rsid w:val="03073BDC"/>
    <w:rsid w:val="030C5976"/>
    <w:rsid w:val="033F44DC"/>
    <w:rsid w:val="041C63C8"/>
    <w:rsid w:val="043168B5"/>
    <w:rsid w:val="0555228E"/>
    <w:rsid w:val="059D1E39"/>
    <w:rsid w:val="05E078B3"/>
    <w:rsid w:val="077D0583"/>
    <w:rsid w:val="079724D0"/>
    <w:rsid w:val="07B90D0D"/>
    <w:rsid w:val="082A352F"/>
    <w:rsid w:val="08433A06"/>
    <w:rsid w:val="08C349D1"/>
    <w:rsid w:val="08C523D5"/>
    <w:rsid w:val="08FD1F99"/>
    <w:rsid w:val="09F67CD5"/>
    <w:rsid w:val="0AC167FE"/>
    <w:rsid w:val="0B584155"/>
    <w:rsid w:val="0B9E71DF"/>
    <w:rsid w:val="0C9D30C2"/>
    <w:rsid w:val="0D9D65F4"/>
    <w:rsid w:val="0E172BD0"/>
    <w:rsid w:val="0EDF02B5"/>
    <w:rsid w:val="0F4B7656"/>
    <w:rsid w:val="0F5967B2"/>
    <w:rsid w:val="0FF42413"/>
    <w:rsid w:val="10936355"/>
    <w:rsid w:val="10A50104"/>
    <w:rsid w:val="115355D9"/>
    <w:rsid w:val="115B3410"/>
    <w:rsid w:val="119D7849"/>
    <w:rsid w:val="12282228"/>
    <w:rsid w:val="123025F6"/>
    <w:rsid w:val="1242135C"/>
    <w:rsid w:val="13126F1F"/>
    <w:rsid w:val="13A1683F"/>
    <w:rsid w:val="140D5F19"/>
    <w:rsid w:val="14960C8D"/>
    <w:rsid w:val="14DA3DA1"/>
    <w:rsid w:val="15CC2C96"/>
    <w:rsid w:val="17155857"/>
    <w:rsid w:val="17950508"/>
    <w:rsid w:val="17AD7BB9"/>
    <w:rsid w:val="18810CF7"/>
    <w:rsid w:val="19010C43"/>
    <w:rsid w:val="19084C73"/>
    <w:rsid w:val="1A054259"/>
    <w:rsid w:val="1A273CC1"/>
    <w:rsid w:val="1AA20BEC"/>
    <w:rsid w:val="1B7F6005"/>
    <w:rsid w:val="1B9D73EE"/>
    <w:rsid w:val="1C132CB9"/>
    <w:rsid w:val="1CBF1B34"/>
    <w:rsid w:val="1CCC26CA"/>
    <w:rsid w:val="1E056606"/>
    <w:rsid w:val="1E9D6342"/>
    <w:rsid w:val="204E6676"/>
    <w:rsid w:val="2195668B"/>
    <w:rsid w:val="21BE5AD4"/>
    <w:rsid w:val="22BA58F2"/>
    <w:rsid w:val="23081A49"/>
    <w:rsid w:val="23181901"/>
    <w:rsid w:val="2334383D"/>
    <w:rsid w:val="236175B6"/>
    <w:rsid w:val="23CE335E"/>
    <w:rsid w:val="245C52F8"/>
    <w:rsid w:val="245E7FA0"/>
    <w:rsid w:val="2463385E"/>
    <w:rsid w:val="250D568B"/>
    <w:rsid w:val="25134332"/>
    <w:rsid w:val="257E508F"/>
    <w:rsid w:val="26BF5712"/>
    <w:rsid w:val="26F163CC"/>
    <w:rsid w:val="27AB7429"/>
    <w:rsid w:val="285C053E"/>
    <w:rsid w:val="289E323B"/>
    <w:rsid w:val="29A10D9E"/>
    <w:rsid w:val="29B973FA"/>
    <w:rsid w:val="29FA7F26"/>
    <w:rsid w:val="2A0F29F0"/>
    <w:rsid w:val="2B0D6E0B"/>
    <w:rsid w:val="2B751C49"/>
    <w:rsid w:val="2B774832"/>
    <w:rsid w:val="2C3E7B79"/>
    <w:rsid w:val="2C556816"/>
    <w:rsid w:val="2C946521"/>
    <w:rsid w:val="2CDE11E4"/>
    <w:rsid w:val="2D143AAF"/>
    <w:rsid w:val="2E305203"/>
    <w:rsid w:val="2E78038B"/>
    <w:rsid w:val="2F1251F2"/>
    <w:rsid w:val="30962F3E"/>
    <w:rsid w:val="30D17E68"/>
    <w:rsid w:val="30FF2795"/>
    <w:rsid w:val="329A6ACE"/>
    <w:rsid w:val="33607071"/>
    <w:rsid w:val="352B7EE1"/>
    <w:rsid w:val="35EB3B29"/>
    <w:rsid w:val="360B1D73"/>
    <w:rsid w:val="361F3323"/>
    <w:rsid w:val="36AC6A50"/>
    <w:rsid w:val="36E93760"/>
    <w:rsid w:val="377E620D"/>
    <w:rsid w:val="3784394E"/>
    <w:rsid w:val="379F4841"/>
    <w:rsid w:val="386A5084"/>
    <w:rsid w:val="38AE3BB0"/>
    <w:rsid w:val="39856CD6"/>
    <w:rsid w:val="3A5370DD"/>
    <w:rsid w:val="3AAC3CC0"/>
    <w:rsid w:val="3AC71DA2"/>
    <w:rsid w:val="3ACB5746"/>
    <w:rsid w:val="3BB20883"/>
    <w:rsid w:val="3C935077"/>
    <w:rsid w:val="3CCC3EC3"/>
    <w:rsid w:val="3CD06756"/>
    <w:rsid w:val="3DA8275C"/>
    <w:rsid w:val="3E441C7D"/>
    <w:rsid w:val="3F9669D4"/>
    <w:rsid w:val="3F992AFA"/>
    <w:rsid w:val="3FC956FF"/>
    <w:rsid w:val="4094655D"/>
    <w:rsid w:val="40A36A71"/>
    <w:rsid w:val="410E4736"/>
    <w:rsid w:val="41C94378"/>
    <w:rsid w:val="41D3631F"/>
    <w:rsid w:val="41F466FD"/>
    <w:rsid w:val="42A67A24"/>
    <w:rsid w:val="42AA3731"/>
    <w:rsid w:val="42D846B9"/>
    <w:rsid w:val="430D7A82"/>
    <w:rsid w:val="43A55B32"/>
    <w:rsid w:val="440D5045"/>
    <w:rsid w:val="44F3408E"/>
    <w:rsid w:val="45BE6191"/>
    <w:rsid w:val="460C5979"/>
    <w:rsid w:val="47756799"/>
    <w:rsid w:val="47C01792"/>
    <w:rsid w:val="47D33EF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EC713AE"/>
    <w:rsid w:val="4EC94F7A"/>
    <w:rsid w:val="4F2765B1"/>
    <w:rsid w:val="4F285975"/>
    <w:rsid w:val="50174E7B"/>
    <w:rsid w:val="50E42F49"/>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C0008CF"/>
    <w:rsid w:val="5C25767A"/>
    <w:rsid w:val="5C6B1600"/>
    <w:rsid w:val="5C921AD0"/>
    <w:rsid w:val="5DFD51DB"/>
    <w:rsid w:val="5E0D36E5"/>
    <w:rsid w:val="5E7F7360"/>
    <w:rsid w:val="5EB903DA"/>
    <w:rsid w:val="5FA52EF6"/>
    <w:rsid w:val="5FF53D41"/>
    <w:rsid w:val="60140907"/>
    <w:rsid w:val="607C3753"/>
    <w:rsid w:val="60C30855"/>
    <w:rsid w:val="60E77677"/>
    <w:rsid w:val="61421EFD"/>
    <w:rsid w:val="615C5041"/>
    <w:rsid w:val="63B01071"/>
    <w:rsid w:val="640B1B11"/>
    <w:rsid w:val="64934878"/>
    <w:rsid w:val="65B13962"/>
    <w:rsid w:val="664805B8"/>
    <w:rsid w:val="687D7039"/>
    <w:rsid w:val="68CB171E"/>
    <w:rsid w:val="690F418B"/>
    <w:rsid w:val="696D3315"/>
    <w:rsid w:val="69FB7936"/>
    <w:rsid w:val="6A154B1E"/>
    <w:rsid w:val="6A7A2736"/>
    <w:rsid w:val="6A7B4B9C"/>
    <w:rsid w:val="6A7F62CA"/>
    <w:rsid w:val="6A9678C5"/>
    <w:rsid w:val="6B4F5C0E"/>
    <w:rsid w:val="6C89456C"/>
    <w:rsid w:val="6D17631B"/>
    <w:rsid w:val="6D3752E6"/>
    <w:rsid w:val="6D663271"/>
    <w:rsid w:val="6F901B66"/>
    <w:rsid w:val="6FA629D4"/>
    <w:rsid w:val="6FC05247"/>
    <w:rsid w:val="6FD10552"/>
    <w:rsid w:val="70BB2EF0"/>
    <w:rsid w:val="725851C3"/>
    <w:rsid w:val="73414765"/>
    <w:rsid w:val="73455C21"/>
    <w:rsid w:val="73D425F7"/>
    <w:rsid w:val="74722550"/>
    <w:rsid w:val="74EF4589"/>
    <w:rsid w:val="750A2023"/>
    <w:rsid w:val="76553223"/>
    <w:rsid w:val="7676736A"/>
    <w:rsid w:val="76933951"/>
    <w:rsid w:val="76FA3873"/>
    <w:rsid w:val="771D661B"/>
    <w:rsid w:val="771F7714"/>
    <w:rsid w:val="77317864"/>
    <w:rsid w:val="777E145F"/>
    <w:rsid w:val="77A32AAD"/>
    <w:rsid w:val="78782A0D"/>
    <w:rsid w:val="789F1593"/>
    <w:rsid w:val="78AE7ACA"/>
    <w:rsid w:val="79A2171F"/>
    <w:rsid w:val="79A252FF"/>
    <w:rsid w:val="79D33056"/>
    <w:rsid w:val="7ADE0D63"/>
    <w:rsid w:val="7C26369C"/>
    <w:rsid w:val="7C9E5A24"/>
    <w:rsid w:val="7CAC00CB"/>
    <w:rsid w:val="7D575412"/>
    <w:rsid w:val="7D62117D"/>
    <w:rsid w:val="7DB275A7"/>
    <w:rsid w:val="7DB54254"/>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qFormat/>
    <w:uiPriority w:val="0"/>
    <w:pPr>
      <w:tabs>
        <w:tab w:val="left" w:pos="-4820"/>
        <w:tab w:val="clear" w:pos="0"/>
      </w:tabs>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annotation text"/>
    <w:basedOn w:val="1"/>
    <w:link w:val="68"/>
    <w:qFormat/>
    <w:uiPriority w:val="99"/>
  </w:style>
  <w:style w:type="paragraph" w:styleId="11">
    <w:name w:val="toc 3"/>
    <w:basedOn w:val="1"/>
    <w:next w:val="1"/>
    <w:link w:val="45"/>
    <w:unhideWhenUsed/>
    <w:qFormat/>
    <w:uiPriority w:val="39"/>
    <w:pPr>
      <w:ind w:left="880" w:leftChars="400"/>
    </w:pPr>
    <w:rPr>
      <w:b/>
      <w:i/>
    </w:rPr>
  </w:style>
  <w:style w:type="paragraph" w:styleId="12">
    <w:name w:val="Balloon Text"/>
    <w:basedOn w:val="1"/>
    <w:link w:val="26"/>
    <w:semiHidden/>
    <w:unhideWhenUsed/>
    <w:qFormat/>
    <w:uiPriority w:val="99"/>
    <w:pPr>
      <w:spacing w:after="0" w:line="240" w:lineRule="auto"/>
    </w:pPr>
    <w:rPr>
      <w:rFonts w:ascii="Microsoft YaHei UI" w:eastAsia="Microsoft YaHei UI"/>
      <w:sz w:val="18"/>
      <w:szCs w:val="18"/>
    </w:rPr>
  </w:style>
  <w:style w:type="paragraph" w:styleId="13">
    <w:name w:val="footer"/>
    <w:link w:val="52"/>
    <w:unhideWhenUsed/>
    <w:qFormat/>
    <w:uiPriority w:val="99"/>
    <w:pPr>
      <w:tabs>
        <w:tab w:val="center" w:pos="4153"/>
        <w:tab w:val="right" w:pos="8306"/>
      </w:tabs>
      <w:snapToGrid w:val="0"/>
      <w:spacing w:after="160" w:line="259" w:lineRule="auto"/>
    </w:pPr>
    <w:rPr>
      <w:rFonts w:ascii="Times New Roman" w:hAnsi="Times New Roman" w:eastAsia="Times New Roman" w:cs="Times New Roman"/>
      <w:kern w:val="2"/>
      <w:sz w:val="18"/>
      <w:szCs w:val="18"/>
      <w:lang w:val="en-US" w:eastAsia="zh-CN" w:bidi="ar-SA"/>
    </w:rPr>
  </w:style>
  <w:style w:type="paragraph" w:styleId="14">
    <w:name w:val="header"/>
    <w:link w:val="36"/>
    <w:qFormat/>
    <w:uiPriority w:val="99"/>
    <w:pPr>
      <w:pBdr>
        <w:bottom w:val="single" w:color="auto" w:sz="6" w:space="1"/>
      </w:pBdr>
      <w:tabs>
        <w:tab w:val="center" w:pos="4153"/>
        <w:tab w:val="right" w:pos="8306"/>
      </w:tabs>
      <w:snapToGrid w:val="0"/>
      <w:spacing w:after="160" w:line="259" w:lineRule="auto"/>
      <w:jc w:val="center"/>
    </w:pPr>
    <w:rPr>
      <w:rFonts w:ascii="Times New Roman" w:hAnsi="Times New Roman" w:eastAsia="Times New Roman" w:cs="Times New Roman"/>
      <w:kern w:val="2"/>
      <w:sz w:val="18"/>
      <w:szCs w:val="18"/>
      <w:lang w:val="en-US" w:eastAsia="zh-CN" w:bidi="ar-SA"/>
    </w:rPr>
  </w:style>
  <w:style w:type="paragraph" w:styleId="15">
    <w:name w:val="toc 1"/>
    <w:basedOn w:val="1"/>
    <w:next w:val="1"/>
    <w:link w:val="39"/>
    <w:unhideWhenUsed/>
    <w:qFormat/>
    <w:uiPriority w:val="39"/>
    <w:rPr>
      <w:b/>
      <w:i/>
    </w:rPr>
  </w:style>
  <w:style w:type="paragraph" w:styleId="16">
    <w:name w:val="List 5"/>
    <w:basedOn w:val="17"/>
    <w:qFormat/>
    <w:uiPriority w:val="0"/>
    <w:pPr>
      <w:ind w:left="1702"/>
    </w:pPr>
  </w:style>
  <w:style w:type="paragraph" w:styleId="17">
    <w:name w:val="List 4"/>
    <w:basedOn w:val="7"/>
    <w:qFormat/>
    <w:uiPriority w:val="0"/>
    <w:pPr>
      <w:ind w:left="1418"/>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link w:val="42"/>
    <w:unhideWhenUsed/>
    <w:qFormat/>
    <w:uiPriority w:val="39"/>
    <w:pPr>
      <w:snapToGrid w:val="0"/>
      <w:ind w:left="618" w:leftChars="200"/>
    </w:pPr>
    <w:rPr>
      <w:b/>
      <w:i/>
    </w:rPr>
  </w:style>
  <w:style w:type="paragraph" w:styleId="20">
    <w:name w:val="Normal (Web)"/>
    <w:basedOn w:val="1"/>
    <w:semiHidden/>
    <w:unhideWhenUsed/>
    <w:uiPriority w:val="99"/>
    <w:rPr>
      <w:sz w:val="24"/>
    </w:rPr>
  </w:style>
  <w:style w:type="paragraph" w:styleId="21">
    <w:name w:val="annotation subject"/>
    <w:basedOn w:val="10"/>
    <w:next w:val="10"/>
    <w:link w:val="69"/>
    <w:semiHidden/>
    <w:unhideWhenUsed/>
    <w:uiPriority w:val="99"/>
    <w:pPr>
      <w:jc w:val="left"/>
    </w:pPr>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Pr>
  </w:style>
  <w:style w:type="character" w:styleId="25">
    <w:name w:val="annotation reference"/>
    <w:basedOn w:val="24"/>
    <w:qFormat/>
    <w:uiPriority w:val="0"/>
    <w:rPr>
      <w:sz w:val="16"/>
      <w:szCs w:val="16"/>
    </w:rPr>
  </w:style>
  <w:style w:type="character" w:customStyle="1" w:styleId="26">
    <w:name w:val="批注框文本 字符"/>
    <w:basedOn w:val="24"/>
    <w:link w:val="12"/>
    <w:semiHidden/>
    <w:qFormat/>
    <w:uiPriority w:val="99"/>
    <w:rPr>
      <w:rFonts w:ascii="Microsoft YaHei UI" w:eastAsia="Microsoft YaHei UI"/>
      <w:kern w:val="2"/>
      <w:sz w:val="18"/>
      <w:szCs w:val="18"/>
    </w:rPr>
  </w:style>
  <w:style w:type="paragraph" w:customStyle="1" w:styleId="27">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8">
    <w:name w:val="!ZTE-Observation-2021"/>
    <w:basedOn w:val="1"/>
    <w:link w:val="62"/>
    <w:qFormat/>
    <w:uiPriority w:val="0"/>
    <w:pPr>
      <w:numPr>
        <w:ilvl w:val="0"/>
        <w:numId w:val="2"/>
      </w:numPr>
      <w:snapToGrid w:val="0"/>
      <w:spacing w:before="50" w:after="50"/>
      <w:jc w:val="left"/>
      <w:textAlignment w:val="center"/>
    </w:pPr>
    <w:rPr>
      <w:rFonts w:cs="宋体" w:eastAsiaTheme="minorEastAsia"/>
      <w:b/>
      <w:bCs/>
      <w:i/>
      <w:iCs/>
      <w:lang w:val="en-GB" w:eastAsia="en-US"/>
    </w:rPr>
  </w:style>
  <w:style w:type="paragraph" w:customStyle="1" w:styleId="29">
    <w:name w:val="!ZTE-Proposal-2021 + 段前: 0.5 行 段后: 0.5 行"/>
    <w:basedOn w:val="1"/>
    <w:qFormat/>
    <w:uiPriority w:val="0"/>
    <w:pPr>
      <w:spacing w:before="50" w:after="50"/>
      <w:jc w:val="left"/>
    </w:pPr>
    <w:rPr>
      <w:rFonts w:cs="宋体" w:eastAsiaTheme="minorEastAsia"/>
      <w:b/>
      <w:bCs/>
      <w:iCs/>
      <w:lang w:val="en-GB"/>
    </w:rPr>
  </w:style>
  <w:style w:type="paragraph" w:customStyle="1" w:styleId="30">
    <w:name w:val="sub-proposal"/>
    <w:basedOn w:val="1"/>
    <w:qFormat/>
    <w:uiPriority w:val="0"/>
    <w:pPr>
      <w:tabs>
        <w:tab w:val="left" w:pos="0"/>
        <w:tab w:val="left" w:pos="420"/>
        <w:tab w:val="left" w:pos="567"/>
        <w:tab w:val="left" w:pos="993"/>
      </w:tabs>
      <w:spacing w:before="120" w:after="120"/>
      <w:jc w:val="left"/>
    </w:pPr>
    <w:rPr>
      <w:rFonts w:eastAsiaTheme="minorEastAsia"/>
      <w:b/>
      <w:bCs/>
      <w:i/>
      <w:iCs/>
    </w:rPr>
  </w:style>
  <w:style w:type="paragraph" w:customStyle="1" w:styleId="31">
    <w:name w:val="sub-observation"/>
    <w:basedOn w:val="30"/>
    <w:qFormat/>
    <w:uiPriority w:val="0"/>
  </w:style>
  <w:style w:type="paragraph" w:customStyle="1" w:styleId="32">
    <w:name w:val="3rd level proposal"/>
    <w:basedOn w:val="30"/>
    <w:qFormat/>
    <w:uiPriority w:val="0"/>
    <w:pPr>
      <w:numPr>
        <w:ilvl w:val="0"/>
        <w:numId w:val="3"/>
      </w:numPr>
      <w:ind w:left="1199" w:leftChars="496" w:hanging="207" w:hangingChars="103"/>
    </w:pPr>
  </w:style>
  <w:style w:type="paragraph" w:customStyle="1" w:styleId="33">
    <w:name w:val="3rd level observation"/>
    <w:basedOn w:val="31"/>
    <w:qFormat/>
    <w:uiPriority w:val="0"/>
    <w:pPr>
      <w:numPr>
        <w:ilvl w:val="0"/>
        <w:numId w:val="4"/>
      </w:numPr>
      <w:tabs>
        <w:tab w:val="left" w:pos="1134"/>
        <w:tab w:val="clear" w:pos="993"/>
      </w:tabs>
      <w:ind w:left="1131" w:leftChars="496" w:hanging="139" w:hangingChars="69"/>
    </w:pPr>
  </w:style>
  <w:style w:type="paragraph" w:customStyle="1" w:styleId="34">
    <w:name w:val="References"/>
    <w:basedOn w:val="1"/>
    <w:qFormat/>
    <w:uiPriority w:val="0"/>
    <w:pPr>
      <w:numPr>
        <w:ilvl w:val="0"/>
        <w:numId w:val="5"/>
      </w:numPr>
      <w:spacing w:after="60"/>
    </w:pPr>
    <w:rPr>
      <w:szCs w:val="16"/>
    </w:rPr>
  </w:style>
  <w:style w:type="paragraph" w:styleId="35">
    <w:name w:val="List Paragraph"/>
    <w:basedOn w:val="1"/>
    <w:qFormat/>
    <w:uiPriority w:val="34"/>
    <w:pPr>
      <w:spacing w:beforeLines="0"/>
      <w:ind w:left="720"/>
      <w:contextualSpacing/>
    </w:pPr>
    <w:rPr>
      <w:sz w:val="24"/>
      <w:szCs w:val="24"/>
    </w:rPr>
  </w:style>
  <w:style w:type="character" w:customStyle="1" w:styleId="36">
    <w:name w:val="页眉 字符"/>
    <w:basedOn w:val="24"/>
    <w:link w:val="14"/>
    <w:qFormat/>
    <w:uiPriority w:val="99"/>
    <w:rPr>
      <w:rFonts w:eastAsia="Times New Roman"/>
      <w:kern w:val="2"/>
      <w:sz w:val="18"/>
      <w:szCs w:val="18"/>
    </w:rPr>
  </w:style>
  <w:style w:type="paragraph" w:customStyle="1" w:styleId="37">
    <w:name w:val="ZTE-C-proposal"/>
    <w:basedOn w:val="15"/>
    <w:link w:val="40"/>
    <w:qFormat/>
    <w:uiPriority w:val="0"/>
    <w:pPr>
      <w:spacing w:before="120" w:after="120"/>
      <w:ind w:left="1104" w:hanging="1104" w:hangingChars="550"/>
    </w:pPr>
  </w:style>
  <w:style w:type="paragraph" w:customStyle="1" w:styleId="38">
    <w:name w:val="ZTE-C-subProposal"/>
    <w:basedOn w:val="19"/>
    <w:link w:val="43"/>
    <w:qFormat/>
    <w:uiPriority w:val="0"/>
    <w:pPr>
      <w:tabs>
        <w:tab w:val="left" w:pos="993"/>
        <w:tab w:val="right" w:leader="dot" w:pos="9650"/>
      </w:tabs>
      <w:spacing w:before="120" w:after="120"/>
      <w:ind w:left="708" w:leftChars="354"/>
    </w:pPr>
  </w:style>
  <w:style w:type="character" w:customStyle="1" w:styleId="39">
    <w:name w:val="TOC 1 字符"/>
    <w:basedOn w:val="24"/>
    <w:link w:val="15"/>
    <w:qFormat/>
    <w:uiPriority w:val="39"/>
    <w:rPr>
      <w:rFonts w:eastAsia="Times New Roman"/>
      <w:b/>
      <w:i/>
      <w:kern w:val="2"/>
    </w:rPr>
  </w:style>
  <w:style w:type="character" w:customStyle="1" w:styleId="40">
    <w:name w:val="ZTE-C-proposal 字符"/>
    <w:basedOn w:val="39"/>
    <w:link w:val="37"/>
    <w:qFormat/>
    <w:uiPriority w:val="0"/>
    <w:rPr>
      <w:rFonts w:eastAsia="Times New Roman"/>
      <w:color w:val="000000"/>
      <w:kern w:val="2"/>
    </w:rPr>
  </w:style>
  <w:style w:type="paragraph" w:customStyle="1" w:styleId="41">
    <w:name w:val="ZTE-C-3rd level proposal"/>
    <w:basedOn w:val="11"/>
    <w:link w:val="46"/>
    <w:qFormat/>
    <w:uiPriority w:val="0"/>
    <w:pPr>
      <w:tabs>
        <w:tab w:val="left" w:pos="1276"/>
        <w:tab w:val="right" w:leader="dot" w:pos="9650"/>
      </w:tabs>
      <w:spacing w:before="120" w:after="120"/>
      <w:ind w:left="1134" w:leftChars="567"/>
    </w:pPr>
  </w:style>
  <w:style w:type="character" w:customStyle="1" w:styleId="42">
    <w:name w:val="TOC 2 字符"/>
    <w:basedOn w:val="24"/>
    <w:link w:val="19"/>
    <w:qFormat/>
    <w:uiPriority w:val="39"/>
    <w:rPr>
      <w:rFonts w:eastAsia="Times New Roman"/>
      <w:b/>
      <w:i/>
      <w:kern w:val="2"/>
    </w:rPr>
  </w:style>
  <w:style w:type="character" w:customStyle="1" w:styleId="43">
    <w:name w:val="ZTE-C-subProposal 字符"/>
    <w:basedOn w:val="42"/>
    <w:link w:val="38"/>
    <w:qFormat/>
    <w:uiPriority w:val="0"/>
    <w:rPr>
      <w:rFonts w:eastAsia="Times New Roman"/>
      <w:kern w:val="2"/>
    </w:rPr>
  </w:style>
  <w:style w:type="paragraph" w:customStyle="1" w:styleId="44">
    <w:name w:val="ZTE-C-Observation"/>
    <w:basedOn w:val="15"/>
    <w:link w:val="48"/>
    <w:qFormat/>
    <w:uiPriority w:val="0"/>
    <w:pPr>
      <w:tabs>
        <w:tab w:val="left" w:pos="1470"/>
        <w:tab w:val="right" w:pos="9650"/>
      </w:tabs>
      <w:spacing w:before="120" w:after="120"/>
      <w:ind w:left="1273" w:hanging="1273" w:hangingChars="634"/>
    </w:pPr>
  </w:style>
  <w:style w:type="character" w:customStyle="1" w:styleId="45">
    <w:name w:val="TOC 3 字符"/>
    <w:basedOn w:val="24"/>
    <w:link w:val="11"/>
    <w:qFormat/>
    <w:uiPriority w:val="39"/>
    <w:rPr>
      <w:rFonts w:eastAsia="Times New Roman"/>
      <w:b/>
      <w:i/>
      <w:kern w:val="2"/>
    </w:rPr>
  </w:style>
  <w:style w:type="character" w:customStyle="1" w:styleId="46">
    <w:name w:val="ZTE-C-3rd level proposal 字符"/>
    <w:basedOn w:val="45"/>
    <w:link w:val="41"/>
    <w:qFormat/>
    <w:uiPriority w:val="0"/>
    <w:rPr>
      <w:rFonts w:eastAsia="Times New Roman"/>
      <w:kern w:val="2"/>
    </w:rPr>
  </w:style>
  <w:style w:type="paragraph" w:customStyle="1" w:styleId="47">
    <w:name w:val="ZTE-C-sub-Observation"/>
    <w:basedOn w:val="19"/>
    <w:link w:val="50"/>
    <w:qFormat/>
    <w:uiPriority w:val="0"/>
    <w:pPr>
      <w:tabs>
        <w:tab w:val="left" w:pos="993"/>
        <w:tab w:val="right" w:pos="9650"/>
      </w:tabs>
      <w:spacing w:before="120" w:after="120"/>
      <w:ind w:left="850" w:leftChars="425"/>
    </w:pPr>
  </w:style>
  <w:style w:type="character" w:customStyle="1" w:styleId="48">
    <w:name w:val="ZTE-C-Observation 字符"/>
    <w:basedOn w:val="39"/>
    <w:link w:val="44"/>
    <w:qFormat/>
    <w:uiPriority w:val="0"/>
    <w:rPr>
      <w:rFonts w:eastAsia="Times New Roman"/>
      <w:kern w:val="2"/>
    </w:rPr>
  </w:style>
  <w:style w:type="paragraph" w:customStyle="1" w:styleId="49">
    <w:name w:val="ZTE-C-3rd level Observation"/>
    <w:basedOn w:val="11"/>
    <w:link w:val="51"/>
    <w:qFormat/>
    <w:uiPriority w:val="0"/>
    <w:pPr>
      <w:tabs>
        <w:tab w:val="left" w:pos="1260"/>
        <w:tab w:val="right" w:pos="9650"/>
      </w:tabs>
      <w:spacing w:before="120" w:after="120"/>
      <w:ind w:left="1134" w:leftChars="567"/>
    </w:pPr>
  </w:style>
  <w:style w:type="character" w:customStyle="1" w:styleId="50">
    <w:name w:val="ZTE-C-sub-Observation 字符"/>
    <w:basedOn w:val="42"/>
    <w:link w:val="47"/>
    <w:qFormat/>
    <w:uiPriority w:val="0"/>
    <w:rPr>
      <w:rFonts w:eastAsia="Times New Roman"/>
      <w:kern w:val="2"/>
    </w:rPr>
  </w:style>
  <w:style w:type="character" w:customStyle="1" w:styleId="51">
    <w:name w:val="ZTE-C-3rd level Observation 字符"/>
    <w:basedOn w:val="45"/>
    <w:link w:val="49"/>
    <w:qFormat/>
    <w:uiPriority w:val="0"/>
    <w:rPr>
      <w:rFonts w:eastAsia="Times New Roman"/>
      <w:kern w:val="2"/>
    </w:rPr>
  </w:style>
  <w:style w:type="character" w:customStyle="1" w:styleId="52">
    <w:name w:val="页脚 字符"/>
    <w:basedOn w:val="24"/>
    <w:link w:val="13"/>
    <w:qFormat/>
    <w:uiPriority w:val="99"/>
    <w:rPr>
      <w:rFonts w:eastAsia="Times New Roman"/>
      <w:kern w:val="2"/>
      <w:sz w:val="18"/>
      <w:szCs w:val="18"/>
    </w:rPr>
  </w:style>
  <w:style w:type="paragraph" w:customStyle="1" w:styleId="53">
    <w:name w:val="Agreement"/>
    <w:basedOn w:val="1"/>
    <w:next w:val="54"/>
    <w:qFormat/>
    <w:uiPriority w:val="0"/>
    <w:pPr>
      <w:tabs>
        <w:tab w:val="left" w:pos="1619"/>
      </w:tabs>
      <w:spacing w:before="60"/>
      <w:ind w:left="811" w:hanging="448"/>
      <w:jc w:val="left"/>
    </w:pPr>
    <w:rPr>
      <w:rFonts w:ascii="Arial" w:hAnsi="Arial" w:eastAsia="MS Mincho"/>
      <w:b/>
      <w:kern w:val="0"/>
      <w:lang w:val="en-GB" w:eastAsia="en-GB"/>
    </w:rPr>
  </w:style>
  <w:style w:type="paragraph" w:customStyle="1" w:styleId="54">
    <w:name w:val="Doc-text2"/>
    <w:basedOn w:val="1"/>
    <w:link w:val="71"/>
    <w:qFormat/>
    <w:uiPriority w:val="0"/>
    <w:pPr>
      <w:tabs>
        <w:tab w:val="left" w:pos="1622"/>
      </w:tabs>
      <w:ind w:left="1622" w:hanging="363"/>
      <w:jc w:val="left"/>
    </w:pPr>
    <w:rPr>
      <w:rFonts w:ascii="Arial" w:hAnsi="Arial" w:eastAsia="MS Mincho"/>
      <w:kern w:val="0"/>
      <w:lang w:val="en-GB" w:eastAsia="en-GB"/>
    </w:rPr>
  </w:style>
  <w:style w:type="paragraph" w:customStyle="1" w:styleId="55">
    <w:name w:val="B1"/>
    <w:basedOn w:val="9"/>
    <w:link w:val="66"/>
    <w:qFormat/>
    <w:uiPriority w:val="0"/>
  </w:style>
  <w:style w:type="paragraph" w:customStyle="1" w:styleId="56">
    <w:name w:val="B2"/>
    <w:basedOn w:val="8"/>
    <w:qFormat/>
    <w:uiPriority w:val="0"/>
  </w:style>
  <w:style w:type="paragraph" w:customStyle="1" w:styleId="57">
    <w:name w:val="B3"/>
    <w:basedOn w:val="7"/>
    <w:qFormat/>
    <w:uiPriority w:val="0"/>
  </w:style>
  <w:style w:type="paragraph" w:customStyle="1" w:styleId="58">
    <w:name w:val="NO"/>
    <w:basedOn w:val="1"/>
    <w:qFormat/>
    <w:uiPriority w:val="0"/>
    <w:pPr>
      <w:keepLines/>
      <w:ind w:left="1135" w:hanging="851"/>
    </w:pPr>
  </w:style>
  <w:style w:type="paragraph" w:customStyle="1" w:styleId="59">
    <w:name w:val="TAL"/>
    <w:basedOn w:val="1"/>
    <w:qFormat/>
    <w:uiPriority w:val="0"/>
    <w:pPr>
      <w:keepNext/>
      <w:keepLines/>
      <w:spacing w:after="0"/>
    </w:pPr>
    <w:rPr>
      <w:rFonts w:ascii="Arial" w:hAnsi="Arial"/>
      <w:sz w:val="18"/>
    </w:rPr>
  </w:style>
  <w:style w:type="paragraph" w:customStyle="1" w:styleId="60">
    <w:name w:val="TH"/>
    <w:basedOn w:val="1"/>
    <w:link w:val="67"/>
    <w:qFormat/>
    <w:uiPriority w:val="0"/>
    <w:pPr>
      <w:keepNext/>
      <w:keepLines/>
      <w:spacing w:before="60"/>
      <w:jc w:val="center"/>
    </w:pPr>
    <w:rPr>
      <w:rFonts w:ascii="Arial" w:hAnsi="Arial"/>
      <w:b/>
    </w:rPr>
  </w:style>
  <w:style w:type="paragraph" w:customStyle="1" w:styleId="61">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character" w:customStyle="1" w:styleId="62">
    <w:name w:val="!ZTE-Observation-2021 Char"/>
    <w:link w:val="28"/>
    <w:qFormat/>
    <w:uiPriority w:val="0"/>
    <w:rPr>
      <w:rFonts w:ascii="Times New Roman" w:hAnsi="Times New Roman" w:cs="宋体" w:eastAsiaTheme="minorEastAsia"/>
      <w:b/>
      <w:bCs/>
      <w:i/>
      <w:iCs/>
      <w:sz w:val="20"/>
      <w:lang w:val="en-GB" w:eastAsia="en-US"/>
    </w:rPr>
  </w:style>
  <w:style w:type="paragraph" w:customStyle="1" w:styleId="63">
    <w:name w:val="B4"/>
    <w:basedOn w:val="17"/>
    <w:qFormat/>
    <w:uiPriority w:val="0"/>
  </w:style>
  <w:style w:type="paragraph" w:customStyle="1" w:styleId="64">
    <w:name w:val="B5"/>
    <w:basedOn w:val="16"/>
    <w:qFormat/>
    <w:uiPriority w:val="0"/>
  </w:style>
  <w:style w:type="paragraph" w:customStyle="1" w:styleId="65">
    <w:name w:val="TF"/>
    <w:basedOn w:val="60"/>
    <w:qFormat/>
    <w:uiPriority w:val="0"/>
    <w:pPr>
      <w:keepNext w:val="0"/>
      <w:spacing w:before="0" w:after="240"/>
    </w:pPr>
  </w:style>
  <w:style w:type="character" w:customStyle="1" w:styleId="66">
    <w:name w:val="B1 Zchn"/>
    <w:link w:val="55"/>
    <w:qFormat/>
    <w:uiPriority w:val="0"/>
    <w:rPr>
      <w:rFonts w:eastAsia="Times New Roman"/>
      <w:kern w:val="2"/>
    </w:rPr>
  </w:style>
  <w:style w:type="character" w:customStyle="1" w:styleId="67">
    <w:name w:val="TH Char"/>
    <w:link w:val="60"/>
    <w:qFormat/>
    <w:uiPriority w:val="0"/>
    <w:rPr>
      <w:rFonts w:ascii="Arial" w:hAnsi="Arial" w:eastAsia="Times New Roman"/>
      <w:b/>
      <w:kern w:val="2"/>
    </w:rPr>
  </w:style>
  <w:style w:type="character" w:customStyle="1" w:styleId="68">
    <w:name w:val="批注文字 字符"/>
    <w:basedOn w:val="24"/>
    <w:link w:val="10"/>
    <w:uiPriority w:val="99"/>
    <w:rPr>
      <w:rFonts w:eastAsia="Times New Roman"/>
      <w:kern w:val="2"/>
    </w:rPr>
  </w:style>
  <w:style w:type="character" w:customStyle="1" w:styleId="69">
    <w:name w:val="批注主题 字符"/>
    <w:basedOn w:val="68"/>
    <w:link w:val="21"/>
    <w:semiHidden/>
    <w:uiPriority w:val="99"/>
    <w:rPr>
      <w:rFonts w:eastAsia="Times New Roman"/>
      <w:b/>
      <w:bCs/>
      <w:kern w:val="2"/>
    </w:rPr>
  </w:style>
  <w:style w:type="paragraph" w:customStyle="1" w:styleId="70">
    <w:name w:val="Revision"/>
    <w:hidden/>
    <w:semiHidden/>
    <w:uiPriority w:val="99"/>
    <w:pPr>
      <w:spacing w:after="0" w:line="240" w:lineRule="auto"/>
    </w:pPr>
    <w:rPr>
      <w:rFonts w:ascii="Times New Roman" w:hAnsi="Times New Roman" w:eastAsia="Times New Roman" w:cs="Times New Roman"/>
      <w:kern w:val="2"/>
      <w:lang w:val="en-US" w:eastAsia="zh-CN" w:bidi="ar-SA"/>
    </w:rPr>
  </w:style>
  <w:style w:type="character" w:customStyle="1" w:styleId="71">
    <w:name w:val="Doc-text2 Char"/>
    <w:link w:val="54"/>
    <w:qFormat/>
    <w:uiPriority w:val="0"/>
    <w:rPr>
      <w:rFonts w:ascii="Arial" w:hAnsi="Arial" w:eastAsia="MS Mincho"/>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CC6F19-B653-4D66-B820-6625594B0170}">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2552</Words>
  <Characters>14552</Characters>
  <Lines>121</Lines>
  <Paragraphs>34</Paragraphs>
  <TotalTime>2401</TotalTime>
  <ScaleCrop>false</ScaleCrop>
  <LinksUpToDate>false</LinksUpToDate>
  <CharactersWithSpaces>17070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cp:lastModifiedBy>
  <dcterms:modified xsi:type="dcterms:W3CDTF">2024-05-10T07:56:15Z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